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263456" w14:paraId="131B86C3" w14:textId="77777777" w:rsidTr="00C848FF">
        <w:trPr>
          <w:trHeight w:val="652"/>
          <w:jc w:val="center"/>
        </w:trPr>
        <w:tc>
          <w:tcPr>
            <w:tcW w:w="3335" w:type="dxa"/>
            <w:tcBorders>
              <w:right w:val="single" w:sz="4" w:space="0" w:color="44546A" w:themeColor="text2"/>
            </w:tcBorders>
            <w:shd w:val="clear" w:color="auto" w:fill="1F3864" w:themeFill="accent1" w:themeFillShade="80"/>
          </w:tcPr>
          <w:p w14:paraId="2D6DC80C"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18085A78" w14:textId="2911A185" w:rsidR="00263456" w:rsidRPr="00906B87" w:rsidRDefault="00263456" w:rsidP="00263456">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A36CCA">
              <w:rPr>
                <w:rFonts w:cs="Arial"/>
                <w:color w:val="FFFFFF" w:themeColor="background1"/>
                <w:sz w:val="32"/>
                <w:szCs w:val="32"/>
                <w:shd w:val="clear" w:color="auto" w:fill="1F3864" w:themeFill="accent1" w:themeFillShade="80"/>
                <w:lang w:val="en-US"/>
              </w:rPr>
              <w:t>contribution</w:t>
            </w:r>
          </w:p>
          <w:p w14:paraId="53B8847D" w14:textId="6BC8F914"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B163715"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6B26AC0C" w14:textId="2CA080AA" w:rsidR="00742FA8" w:rsidRDefault="00263456" w:rsidP="00263456">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2D61AB">
              <w:rPr>
                <w:rFonts w:cs="Arial"/>
                <w:color w:val="FFFFFF" w:themeColor="background1"/>
                <w:sz w:val="32"/>
                <w:szCs w:val="32"/>
                <w:shd w:val="clear" w:color="auto" w:fill="1F3864" w:themeFill="accent1" w:themeFillShade="80"/>
                <w:lang w:val="en-US"/>
              </w:rPr>
              <w:t>5</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38333F" w14:paraId="425D15D4" w14:textId="77777777" w:rsidTr="00C848FF">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263456" w:rsidRDefault="005728A3" w:rsidP="005728A3">
            <w:pPr>
              <w:jc w:val="right"/>
              <w:rPr>
                <w:rFonts w:cstheme="minorHAnsi"/>
                <w:b/>
                <w:bCs/>
                <w:color w:val="002060"/>
                <w:sz w:val="28"/>
                <w:szCs w:val="28"/>
                <w:lang w:val="en-US"/>
              </w:rPr>
            </w:pPr>
            <w:r w:rsidRPr="00263456">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C848FF">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59EC772E" w:rsidR="006D3771" w:rsidRPr="008B6B20" w:rsidRDefault="003F4E0F" w:rsidP="006D3771">
            <w:pPr>
              <w:jc w:val="center"/>
              <w:rPr>
                <w:sz w:val="32"/>
                <w:szCs w:val="32"/>
                <w:lang w:val="en-GB"/>
              </w:rPr>
            </w:pPr>
            <w:r>
              <w:rPr>
                <w:sz w:val="32"/>
                <w:szCs w:val="32"/>
                <w:lang w:val="en-GB"/>
              </w:rPr>
              <w:t>Latvia</w:t>
            </w:r>
          </w:p>
          <w:p w14:paraId="1EE0812F" w14:textId="73DF6167" w:rsidR="006D3771" w:rsidRDefault="006D3771">
            <w:pPr>
              <w:rPr>
                <w:lang w:val="en-US"/>
              </w:rPr>
            </w:pPr>
          </w:p>
        </w:tc>
      </w:tr>
    </w:tbl>
    <w:p w14:paraId="30D2EC4D" w14:textId="77777777" w:rsidR="001A0B36" w:rsidRDefault="001A0B36">
      <w:pPr>
        <w:rPr>
          <w:rFonts w:cs="Arial"/>
          <w:color w:val="FFFFFF" w:themeColor="background1"/>
          <w:sz w:val="22"/>
          <w:szCs w:val="22"/>
          <w:shd w:val="clear" w:color="auto" w:fill="1F3864" w:themeFill="accent1" w:themeFillShade="80"/>
          <w:lang w:val="en-GB"/>
        </w:rPr>
      </w:pPr>
    </w:p>
    <w:p w14:paraId="2ADAF512" w14:textId="77777777" w:rsidR="008B6B20" w:rsidRPr="00574B1E" w:rsidRDefault="008B6B20" w:rsidP="008B6B20">
      <w:pPr>
        <w:keepNext/>
        <w:spacing w:before="320"/>
        <w:outlineLvl w:val="0"/>
        <w:rPr>
          <w:rFonts w:ascii="Calibri Light" w:eastAsia="Times New Roman" w:hAnsi="Calibri Light" w:cs="Calibri Light"/>
          <w:color w:val="2F5496"/>
          <w:kern w:val="36"/>
          <w:sz w:val="32"/>
          <w:szCs w:val="32"/>
          <w:lang w:val="en-US"/>
        </w:rPr>
      </w:pPr>
      <w:r w:rsidRPr="00574B1E">
        <w:rPr>
          <w:rFonts w:ascii="Calibri Light" w:eastAsia="Times New Roman" w:hAnsi="Calibri Light" w:cs="Calibri Light"/>
          <w:color w:val="2F5496"/>
          <w:kern w:val="36"/>
          <w:sz w:val="32"/>
          <w:szCs w:val="32"/>
          <w:lang w:val="en-US"/>
        </w:rPr>
        <w:t xml:space="preserve">I Justice System </w:t>
      </w:r>
    </w:p>
    <w:p w14:paraId="2CF8867C" w14:textId="77777777" w:rsidR="008B6B20" w:rsidRPr="00574B1E" w:rsidRDefault="008B6B20" w:rsidP="008B6B20">
      <w:pPr>
        <w:autoSpaceDE w:val="0"/>
        <w:autoSpaceDN w:val="0"/>
        <w:rPr>
          <w:rFonts w:ascii="Calibri" w:hAnsi="Calibri" w:cs="Calibri"/>
          <w:lang w:val="en-US"/>
        </w:rPr>
      </w:pPr>
    </w:p>
    <w:p w14:paraId="554C1FCF" w14:textId="77777777" w:rsidR="008B6B20" w:rsidRPr="00574B1E" w:rsidRDefault="008B6B20" w:rsidP="008B6B20">
      <w:pPr>
        <w:autoSpaceDE w:val="0"/>
        <w:autoSpaceDN w:val="0"/>
        <w:jc w:val="both"/>
        <w:rPr>
          <w:rFonts w:ascii="Calibri" w:hAnsi="Calibri" w:cs="Calibri"/>
          <w:color w:val="000000"/>
          <w:lang w:val="en-US"/>
        </w:rPr>
      </w:pPr>
      <w:r w:rsidRPr="00574B1E">
        <w:rPr>
          <w:rFonts w:ascii="Calibri" w:hAnsi="Calibri" w:cs="Calibri"/>
          <w:color w:val="000000"/>
          <w:lang w:val="en-US"/>
        </w:rPr>
        <w:t xml:space="preserve">The European Commission for the Efficiency of Justice (CEPEJ) regularly collects data on judicial systems concerning efficiency and quality of the justice system. </w:t>
      </w:r>
    </w:p>
    <w:p w14:paraId="646D1D17"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574B1E">
        <w:rPr>
          <w:rFonts w:ascii="Calibri" w:hAnsi="Calibri" w:cs="Calibri"/>
          <w:color w:val="000000"/>
          <w:lang w:val="en-US"/>
        </w:rPr>
        <w:t xml:space="preserve">In 2024, 2022 data have been collected, quality checked and the CEPEJ </w:t>
      </w:r>
      <w:r w:rsidRPr="0003402A">
        <w:rPr>
          <w:rFonts w:ascii="Calibri" w:hAnsi="Calibri" w:cs="Calibri"/>
          <w:color w:val="000000"/>
          <w:lang w:val="en-US"/>
        </w:rPr>
        <w:t>European Judicial Systems Evaluation Report (</w:t>
      </w:r>
      <w:hyperlink r:id="rId9" w:history="1">
        <w:r w:rsidRPr="0003402A">
          <w:rPr>
            <w:rFonts w:ascii="Calibri" w:hAnsi="Calibri" w:cs="Calibri"/>
            <w:color w:val="0563C1"/>
            <w:u w:val="single"/>
            <w:lang w:val="en-US"/>
          </w:rPr>
          <w:t>General analyses</w:t>
        </w:r>
      </w:hyperlink>
      <w:r w:rsidRPr="0003402A">
        <w:rPr>
          <w:rFonts w:ascii="Calibri" w:hAnsi="Calibri" w:cs="Calibri"/>
          <w:color w:val="000000"/>
          <w:lang w:val="en-US"/>
        </w:rPr>
        <w:t xml:space="preserve"> and  </w:t>
      </w:r>
      <w:hyperlink r:id="rId10" w:history="1">
        <w:r w:rsidRPr="0003402A">
          <w:rPr>
            <w:rFonts w:ascii="Calibri" w:hAnsi="Calibri" w:cs="Calibri"/>
            <w:color w:val="0563C1"/>
            <w:u w:val="single"/>
            <w:lang w:val="en-US"/>
          </w:rPr>
          <w:t>CEPEJ-STAT database</w:t>
        </w:r>
      </w:hyperlink>
      <w:r w:rsidRPr="0003402A">
        <w:rPr>
          <w:rFonts w:ascii="Calibri" w:hAnsi="Calibri" w:cs="Calibri"/>
          <w:color w:val="000000"/>
          <w:lang w:val="en-US"/>
        </w:rPr>
        <w:t xml:space="preserve">) was </w:t>
      </w:r>
      <w:r w:rsidRPr="00574B1E">
        <w:rPr>
          <w:rFonts w:ascii="Calibri" w:hAnsi="Calibri" w:cs="Calibri"/>
          <w:color w:val="000000"/>
          <w:lang w:val="en-US"/>
        </w:rPr>
        <w:t xml:space="preserve">published. </w:t>
      </w:r>
      <w:r w:rsidRPr="0003402A">
        <w:rPr>
          <w:rFonts w:ascii="Calibri" w:hAnsi="Calibri" w:cs="Calibri"/>
          <w:color w:val="000000"/>
          <w:lang w:val="en-US"/>
        </w:rPr>
        <w:t xml:space="preserve">This report also includes </w:t>
      </w:r>
      <w:r w:rsidRPr="00574B1E">
        <w:rPr>
          <w:rFonts w:ascii="Calibri" w:hAnsi="Calibri" w:cs="Calibri"/>
          <w:color w:val="000000"/>
          <w:lang w:val="en-US"/>
        </w:rPr>
        <w:t xml:space="preserve">country profiles for each Council of Europe Member State, based on 2022 data. </w:t>
      </w:r>
    </w:p>
    <w:p w14:paraId="4901F3D7" w14:textId="0F4BEFB9" w:rsidR="008B6B20" w:rsidRPr="00574B1E" w:rsidRDefault="00000000" w:rsidP="008B6B20">
      <w:pPr>
        <w:rPr>
          <w:rFonts w:ascii="Calibri" w:hAnsi="Calibri" w:cs="Calibri"/>
          <w:lang w:val="en-US"/>
        </w:rPr>
      </w:pPr>
      <w:hyperlink r:id="rId11" w:history="1">
        <w:r w:rsidR="003F4E0F">
          <w:rPr>
            <w:rStyle w:val="Hyperlink"/>
            <w:rFonts w:ascii="Calibri" w:hAnsi="Calibri" w:cs="Calibri"/>
            <w:lang w:val="en-US"/>
          </w:rPr>
          <w:t>CEPEJ Evaluation Report - Country Profiles – Latvia</w:t>
        </w:r>
      </w:hyperlink>
      <w:r w:rsidR="008B6B20" w:rsidRPr="00574B1E">
        <w:rPr>
          <w:rFonts w:ascii="Calibri" w:hAnsi="Calibri" w:cs="Calibri"/>
          <w:lang w:val="en-US"/>
        </w:rPr>
        <w:t xml:space="preserve"> </w:t>
      </w:r>
    </w:p>
    <w:p w14:paraId="6AF45BF0"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03402A">
        <w:rPr>
          <w:rFonts w:ascii="Calibri" w:hAnsi="Calibri" w:cs="Calibri"/>
          <w:color w:val="000000"/>
          <w:lang w:val="en-US"/>
        </w:rPr>
        <w:t xml:space="preserve">In addition, CEPEJ prepares Country profiles in the framework of the CEPEJ Study for the EU Justice Scoreboard. </w:t>
      </w:r>
    </w:p>
    <w:p w14:paraId="3B78086A" w14:textId="54FB4234" w:rsidR="008B6B20" w:rsidRPr="00574B1E" w:rsidRDefault="00000000" w:rsidP="008B6B20">
      <w:pPr>
        <w:shd w:val="clear" w:color="auto" w:fill="FFFFFF"/>
        <w:spacing w:before="100" w:beforeAutospacing="1" w:after="100" w:afterAutospacing="1"/>
        <w:rPr>
          <w:rFonts w:ascii="Calibri" w:hAnsi="Calibri" w:cs="Calibri"/>
          <w:color w:val="161616"/>
          <w:lang w:val="en-US"/>
        </w:rPr>
      </w:pPr>
      <w:hyperlink r:id="rId12" w:history="1">
        <w:r w:rsidR="003F4E0F">
          <w:rPr>
            <w:rStyle w:val="Hyperlink"/>
            <w:rFonts w:ascii="Calibri" w:hAnsi="Calibri" w:cs="Calibri"/>
            <w:lang w:val="en-US"/>
          </w:rPr>
          <w:t>CEPEJ Country fiche - Scoreboard - Latvia (2022 data)</w:t>
        </w:r>
      </w:hyperlink>
    </w:p>
    <w:p w14:paraId="06E798A9" w14:textId="77777777" w:rsidR="008B6B20" w:rsidRDefault="008B6B20" w:rsidP="008B6B20">
      <w:pPr>
        <w:autoSpaceDE w:val="0"/>
        <w:autoSpaceDN w:val="0"/>
        <w:jc w:val="both"/>
        <w:rPr>
          <w:rFonts w:ascii="Calibri" w:hAnsi="Calibri" w:cs="Calibri"/>
          <w:color w:val="000000"/>
          <w:lang w:val="en-US"/>
        </w:rPr>
      </w:pPr>
      <w:r w:rsidRPr="0003402A">
        <w:rPr>
          <w:rFonts w:ascii="Calibri" w:hAnsi="Calibri" w:cs="Calibri"/>
          <w:color w:val="000000"/>
          <w:lang w:val="en-US"/>
        </w:rPr>
        <w:t>The 2023 data have been collected, quality checked and sent to DG-JUST in the framework of the 2025 EU Justice Scoreboard. The publication of the country profiles based on 2023 data will depend on final acceptation of the CEPEJ Study by DG-JUST. The CEPEJ Secretariat (</w:t>
      </w:r>
      <w:hyperlink r:id="rId13" w:history="1">
        <w:r w:rsidRPr="0003402A">
          <w:rPr>
            <w:rFonts w:ascii="Calibri" w:hAnsi="Calibri" w:cs="Calibri"/>
            <w:color w:val="0563C1"/>
            <w:u w:val="single"/>
            <w:lang w:val="en-US"/>
          </w:rPr>
          <w:t>christel.schurrer@coe.int</w:t>
        </w:r>
      </w:hyperlink>
      <w:r w:rsidRPr="0003402A">
        <w:rPr>
          <w:rFonts w:ascii="Calibri" w:hAnsi="Calibri" w:cs="Calibri"/>
          <w:color w:val="000000"/>
          <w:lang w:val="en-US"/>
        </w:rPr>
        <w:t xml:space="preserve">)  remains at the disposal of European Commission for any question related to these data. </w:t>
      </w:r>
    </w:p>
    <w:p w14:paraId="08BE1785" w14:textId="77777777" w:rsidR="0038333F" w:rsidRDefault="0038333F" w:rsidP="008B6B20">
      <w:pPr>
        <w:autoSpaceDE w:val="0"/>
        <w:autoSpaceDN w:val="0"/>
        <w:jc w:val="both"/>
        <w:rPr>
          <w:rFonts w:ascii="Calibri" w:hAnsi="Calibri" w:cs="Calibri"/>
          <w:color w:val="000000"/>
          <w:lang w:val="en-US"/>
        </w:rPr>
      </w:pPr>
    </w:p>
    <w:p w14:paraId="0C6D3FE8" w14:textId="77777777" w:rsidR="0038333F" w:rsidRDefault="0038333F" w:rsidP="0038333F">
      <w:pPr>
        <w:pStyle w:val="Default"/>
        <w:jc w:val="both"/>
        <w:rPr>
          <w:rFonts w:asciiTheme="minorHAnsi" w:eastAsiaTheme="minorEastAsia" w:hAnsiTheme="minorHAnsi" w:cstheme="minorHAnsi"/>
          <w:b/>
          <w:bCs/>
          <w:color w:val="auto"/>
          <w:sz w:val="20"/>
          <w:szCs w:val="20"/>
          <w:lang w:val="en-GB"/>
        </w:rPr>
      </w:pPr>
      <w:bookmarkStart w:id="0" w:name="_Hlk189207651"/>
      <w:bookmarkStart w:id="1" w:name="_Hlk189208189"/>
      <w:r w:rsidRPr="00C1563B">
        <w:rPr>
          <w:rFonts w:asciiTheme="minorHAnsi" w:eastAsiaTheme="minorEastAsia" w:hAnsiTheme="minorHAnsi" w:cstheme="minorHAnsi"/>
          <w:b/>
          <w:bCs/>
          <w:color w:val="auto"/>
          <w:sz w:val="20"/>
          <w:szCs w:val="20"/>
          <w:lang w:val="en-GB"/>
        </w:rPr>
        <w:t xml:space="preserve">Execution of judgments of the European Court of Human Rights in </w:t>
      </w:r>
      <w:r>
        <w:rPr>
          <w:rFonts w:asciiTheme="minorHAnsi" w:eastAsiaTheme="minorEastAsia" w:hAnsiTheme="minorHAnsi" w:cstheme="minorHAnsi"/>
          <w:b/>
          <w:bCs/>
          <w:color w:val="auto"/>
          <w:sz w:val="20"/>
          <w:szCs w:val="20"/>
          <w:lang w:val="en-GB"/>
        </w:rPr>
        <w:t>Latvia</w:t>
      </w:r>
    </w:p>
    <w:p w14:paraId="563955E3" w14:textId="77777777" w:rsidR="0038333F" w:rsidRDefault="0038333F" w:rsidP="0038333F">
      <w:pPr>
        <w:pStyle w:val="Default"/>
        <w:jc w:val="both"/>
        <w:rPr>
          <w:rFonts w:asciiTheme="minorHAnsi" w:eastAsiaTheme="minorEastAsia" w:hAnsiTheme="minorHAnsi" w:cstheme="minorHAnsi"/>
          <w:b/>
          <w:bCs/>
          <w:color w:val="auto"/>
          <w:sz w:val="20"/>
          <w:szCs w:val="20"/>
          <w:lang w:val="en-GB"/>
        </w:rPr>
      </w:pPr>
    </w:p>
    <w:p w14:paraId="70A0BE8D" w14:textId="77777777" w:rsidR="0038333F" w:rsidRPr="00FF2525" w:rsidRDefault="0038333F" w:rsidP="0038333F">
      <w:pPr>
        <w:pStyle w:val="Default"/>
        <w:jc w:val="both"/>
        <w:rPr>
          <w:rFonts w:cstheme="minorHAnsi"/>
          <w:b/>
          <w:bCs/>
          <w:i/>
          <w:iCs/>
          <w:sz w:val="20"/>
          <w:szCs w:val="20"/>
          <w:lang w:val="en-US"/>
        </w:rPr>
      </w:pPr>
      <w:bookmarkStart w:id="2" w:name="_Hlk189208018"/>
      <w:r>
        <w:rPr>
          <w:rFonts w:asciiTheme="minorHAnsi" w:eastAsiaTheme="minorEastAsia" w:hAnsiTheme="minorHAnsi" w:cstheme="minorHAnsi"/>
          <w:b/>
          <w:bCs/>
          <w:i/>
          <w:iCs/>
          <w:color w:val="auto"/>
          <w:sz w:val="20"/>
          <w:szCs w:val="20"/>
          <w:lang w:val="en-GB"/>
        </w:rPr>
        <w:t>IMPORTANT COMMENT</w:t>
      </w:r>
      <w:r w:rsidRPr="00AB04B5">
        <w:rPr>
          <w:rFonts w:asciiTheme="minorHAnsi" w:eastAsiaTheme="minorEastAsia" w:hAnsiTheme="minorHAnsi" w:cstheme="minorHAnsi"/>
          <w:b/>
          <w:bCs/>
          <w:i/>
          <w:iCs/>
          <w:color w:val="auto"/>
          <w:sz w:val="20"/>
          <w:szCs w:val="20"/>
          <w:lang w:val="en-GB"/>
        </w:rPr>
        <w:t xml:space="preserve">: </w:t>
      </w:r>
      <w:r w:rsidRPr="003C3013">
        <w:rPr>
          <w:rFonts w:cstheme="minorHAnsi"/>
          <w:b/>
          <w:bCs/>
          <w:i/>
          <w:iCs/>
          <w:sz w:val="20"/>
          <w:szCs w:val="20"/>
          <w:lang w:val="en-US"/>
        </w:rPr>
        <w:t xml:space="preserve">Official figures/statistics on the execution of judgments of the European Court of Human Rights are published in the Committee of Ministers </w:t>
      </w:r>
      <w:hyperlink r:id="rId14" w:history="1">
        <w:r w:rsidRPr="003C3013">
          <w:rPr>
            <w:rStyle w:val="Hyperlink"/>
            <w:rFonts w:cstheme="minorHAnsi"/>
            <w:b/>
            <w:bCs/>
            <w:i/>
            <w:iCs/>
            <w:sz w:val="20"/>
            <w:szCs w:val="20"/>
            <w:lang w:val="en-US"/>
          </w:rPr>
          <w:t>Annual reports on the execution</w:t>
        </w:r>
      </w:hyperlink>
      <w:r w:rsidRPr="003C3013">
        <w:rPr>
          <w:rFonts w:cstheme="minorHAnsi"/>
          <w:b/>
          <w:bCs/>
          <w:i/>
          <w:iCs/>
          <w:sz w:val="20"/>
          <w:szCs w:val="20"/>
          <w:lang w:val="en-US"/>
        </w:rPr>
        <w:t xml:space="preserve"> (next edition to be published in March 2025). The </w:t>
      </w:r>
      <w:proofErr w:type="spellStart"/>
      <w:r w:rsidRPr="003C3013">
        <w:rPr>
          <w:rFonts w:cstheme="minorHAnsi"/>
          <w:b/>
          <w:bCs/>
          <w:i/>
          <w:iCs/>
          <w:sz w:val="20"/>
          <w:szCs w:val="20"/>
          <w:lang w:val="en-US"/>
        </w:rPr>
        <w:t>CoE’s</w:t>
      </w:r>
      <w:proofErr w:type="spellEnd"/>
      <w:r w:rsidRPr="003C3013">
        <w:rPr>
          <w:rFonts w:cstheme="minorHAnsi"/>
          <w:b/>
          <w:bCs/>
          <w:i/>
          <w:iCs/>
          <w:sz w:val="20"/>
          <w:szCs w:val="20"/>
          <w:lang w:val="en-US"/>
        </w:rPr>
        <w:t xml:space="preserve"> Department for the Execution of Judgments can be consulted for any question on statistics: </w:t>
      </w:r>
      <w:hyperlink r:id="rId15" w:history="1">
        <w:r w:rsidRPr="003C3013">
          <w:rPr>
            <w:rStyle w:val="Hyperlink"/>
            <w:rFonts w:cstheme="minorHAnsi"/>
            <w:b/>
            <w:bCs/>
            <w:i/>
            <w:iCs/>
            <w:sz w:val="20"/>
            <w:szCs w:val="20"/>
            <w:lang w:val="en-US"/>
          </w:rPr>
          <w:t>DGI-Execution@coe.int</w:t>
        </w:r>
      </w:hyperlink>
      <w:bookmarkEnd w:id="0"/>
      <w:r w:rsidRPr="003C3013">
        <w:rPr>
          <w:rFonts w:cstheme="minorHAnsi"/>
          <w:b/>
          <w:bCs/>
          <w:i/>
          <w:iCs/>
          <w:sz w:val="20"/>
          <w:szCs w:val="20"/>
          <w:lang w:val="en-US"/>
        </w:rPr>
        <w:t>.</w:t>
      </w:r>
    </w:p>
    <w:bookmarkEnd w:id="1"/>
    <w:bookmarkEnd w:id="2"/>
    <w:p w14:paraId="28A2E664" w14:textId="77777777" w:rsidR="0038333F" w:rsidRDefault="0038333F" w:rsidP="008B6B20">
      <w:pPr>
        <w:autoSpaceDE w:val="0"/>
        <w:autoSpaceDN w:val="0"/>
        <w:jc w:val="both"/>
        <w:rPr>
          <w:rFonts w:ascii="Calibri" w:hAnsi="Calibri" w:cs="Calibri"/>
          <w:color w:val="000000"/>
          <w:lang w:val="en-US"/>
        </w:rPr>
      </w:pPr>
    </w:p>
    <w:p w14:paraId="75027A60" w14:textId="77777777" w:rsidR="0038333F" w:rsidRPr="00695B1C" w:rsidRDefault="0038333F" w:rsidP="0038333F">
      <w:pPr>
        <w:pStyle w:val="ListParagraph"/>
        <w:numPr>
          <w:ilvl w:val="0"/>
          <w:numId w:val="13"/>
        </w:numPr>
        <w:jc w:val="both"/>
        <w:rPr>
          <w:rFonts w:cstheme="minorHAnsi"/>
          <w:lang w:val="en-GB"/>
        </w:rPr>
      </w:pPr>
      <w:r w:rsidRPr="00695B1C">
        <w:rPr>
          <w:rFonts w:cstheme="minorHAnsi"/>
          <w:i/>
          <w:iCs/>
          <w:lang w:val="en-GB"/>
        </w:rPr>
        <w:t xml:space="preserve">ACCESS TO JUSTICE </w:t>
      </w:r>
    </w:p>
    <w:p w14:paraId="7B1DB1C7" w14:textId="77777777" w:rsidR="0038333F" w:rsidRPr="00D13776" w:rsidRDefault="0038333F" w:rsidP="0038333F">
      <w:pPr>
        <w:pStyle w:val="s2eb42ed2"/>
        <w:shd w:val="clear" w:color="auto" w:fill="FFFFFF"/>
        <w:spacing w:before="0" w:beforeAutospacing="0" w:after="0" w:afterAutospacing="0"/>
        <w:jc w:val="both"/>
        <w:rPr>
          <w:rFonts w:asciiTheme="minorHAnsi" w:hAnsiTheme="minorHAnsi" w:cstheme="minorHAnsi"/>
          <w:color w:val="000000"/>
          <w:sz w:val="20"/>
          <w:szCs w:val="20"/>
          <w:shd w:val="clear" w:color="auto" w:fill="FFFFFF"/>
          <w:lang w:val="en-US"/>
        </w:rPr>
      </w:pPr>
      <w:proofErr w:type="spellStart"/>
      <w:r w:rsidRPr="00D13776">
        <w:rPr>
          <w:rFonts w:asciiTheme="minorHAnsi" w:hAnsiTheme="minorHAnsi" w:cstheme="minorHAnsi"/>
          <w:sz w:val="20"/>
          <w:szCs w:val="20"/>
          <w:u w:val="single"/>
          <w:lang w:val="en-GB"/>
        </w:rPr>
        <w:t>Hanovs</w:t>
      </w:r>
      <w:proofErr w:type="spellEnd"/>
      <w:r w:rsidRPr="00D13776">
        <w:rPr>
          <w:rFonts w:asciiTheme="minorHAnsi" w:eastAsia="Calibri" w:hAnsiTheme="minorHAnsi" w:cstheme="minorHAnsi"/>
          <w:sz w:val="20"/>
          <w:szCs w:val="20"/>
          <w:u w:val="single"/>
          <w:lang w:val="en-GB"/>
        </w:rPr>
        <w:t xml:space="preserve"> (NEW):</w:t>
      </w:r>
      <w:r w:rsidRPr="00D13776">
        <w:rPr>
          <w:rFonts w:asciiTheme="minorHAnsi" w:hAnsiTheme="minorHAnsi" w:cstheme="minorHAnsi"/>
          <w:sz w:val="20"/>
          <w:szCs w:val="20"/>
          <w:shd w:val="clear" w:color="auto" w:fill="FFFFFF"/>
          <w:lang w:val="en-GB"/>
        </w:rPr>
        <w:t xml:space="preserve"> </w:t>
      </w:r>
      <w:r w:rsidRPr="00D13776">
        <w:rPr>
          <w:rFonts w:asciiTheme="minorHAnsi" w:hAnsiTheme="minorHAnsi" w:cstheme="minorHAnsi"/>
          <w:color w:val="000000"/>
          <w:sz w:val="20"/>
          <w:szCs w:val="20"/>
          <w:shd w:val="clear" w:color="auto" w:fill="FFFFFF"/>
          <w:lang w:val="en-US"/>
        </w:rPr>
        <w:t>This case concerns the lack of effective prosecution of homophobic attack against the applicant, which occurred in 2020 (violation of Articles 3 and 8 of the Convention, read in conjunction with Article 14).</w:t>
      </w:r>
    </w:p>
    <w:p w14:paraId="3D3A17B4" w14:textId="77777777" w:rsidR="0038333F" w:rsidRPr="00D13776" w:rsidRDefault="0038333F" w:rsidP="0038333F">
      <w:pPr>
        <w:pStyle w:val="s2eb42ed2"/>
        <w:shd w:val="clear" w:color="auto" w:fill="FFFFFF"/>
        <w:spacing w:before="0" w:beforeAutospacing="0" w:after="0" w:afterAutospacing="0"/>
        <w:jc w:val="both"/>
        <w:rPr>
          <w:rFonts w:asciiTheme="minorHAnsi" w:hAnsiTheme="minorHAnsi" w:cstheme="minorHAnsi"/>
          <w:color w:val="000000"/>
          <w:sz w:val="20"/>
          <w:szCs w:val="20"/>
          <w:shd w:val="clear" w:color="auto" w:fill="FFFFFF"/>
          <w:lang w:val="en-GB"/>
        </w:rPr>
      </w:pPr>
      <w:r w:rsidRPr="00D13776">
        <w:rPr>
          <w:rFonts w:asciiTheme="minorHAnsi" w:hAnsiTheme="minorHAnsi" w:cstheme="minorHAnsi"/>
          <w:color w:val="000000"/>
          <w:sz w:val="20"/>
          <w:szCs w:val="20"/>
          <w:shd w:val="clear" w:color="auto" w:fill="FFFFFF"/>
          <w:lang w:val="en-GB"/>
        </w:rPr>
        <w:t xml:space="preserve">Presentation on </w:t>
      </w:r>
      <w:proofErr w:type="spellStart"/>
      <w:r w:rsidRPr="00D13776">
        <w:rPr>
          <w:rFonts w:asciiTheme="minorHAnsi" w:hAnsiTheme="minorHAnsi" w:cstheme="minorHAnsi"/>
          <w:color w:val="000000"/>
          <w:sz w:val="20"/>
          <w:szCs w:val="20"/>
          <w:shd w:val="clear" w:color="auto" w:fill="FFFFFF"/>
          <w:lang w:val="en-GB"/>
        </w:rPr>
        <w:t>Hudoc.exec</w:t>
      </w:r>
      <w:proofErr w:type="spellEnd"/>
      <w:r w:rsidRPr="00D13776">
        <w:rPr>
          <w:rFonts w:asciiTheme="minorHAnsi" w:hAnsiTheme="minorHAnsi" w:cstheme="minorHAnsi"/>
          <w:color w:val="000000"/>
          <w:sz w:val="20"/>
          <w:szCs w:val="20"/>
          <w:shd w:val="clear" w:color="auto" w:fill="FFFFFF"/>
          <w:lang w:val="en-GB"/>
        </w:rPr>
        <w:t xml:space="preserve">: </w:t>
      </w:r>
      <w:hyperlink r:id="rId16" w:history="1">
        <w:proofErr w:type="spellStart"/>
        <w:r w:rsidRPr="00D13776">
          <w:rPr>
            <w:rStyle w:val="Hyperlink"/>
            <w:rFonts w:asciiTheme="minorHAnsi" w:hAnsiTheme="minorHAnsi" w:cstheme="minorHAnsi"/>
            <w:color w:val="0000FF"/>
            <w:sz w:val="20"/>
            <w:szCs w:val="20"/>
            <w:shd w:val="clear" w:color="auto" w:fill="FFFFFF"/>
            <w:lang w:val="en-GB"/>
          </w:rPr>
          <w:t>Hanovs</w:t>
        </w:r>
        <w:proofErr w:type="spellEnd"/>
        <w:r w:rsidRPr="00D13776">
          <w:rPr>
            <w:rStyle w:val="Hyperlink"/>
            <w:rFonts w:asciiTheme="minorHAnsi" w:hAnsiTheme="minorHAnsi" w:cstheme="minorHAnsi"/>
            <w:color w:val="0000FF"/>
            <w:sz w:val="20"/>
            <w:szCs w:val="20"/>
            <w:shd w:val="clear" w:color="auto" w:fill="FFFFFF"/>
            <w:lang w:val="en-GB"/>
          </w:rPr>
          <w:t xml:space="preserve"> </w:t>
        </w:r>
      </w:hyperlink>
    </w:p>
    <w:p w14:paraId="78AC2A55" w14:textId="77777777" w:rsidR="0038333F" w:rsidRPr="00D13776" w:rsidRDefault="0038333F" w:rsidP="0038333F">
      <w:pPr>
        <w:spacing w:line="256" w:lineRule="auto"/>
        <w:jc w:val="both"/>
        <w:rPr>
          <w:rFonts w:cstheme="minorHAnsi"/>
          <w:color w:val="000000"/>
          <w:shd w:val="clear" w:color="auto" w:fill="FFFFFF"/>
          <w:lang w:val="en-GB"/>
        </w:rPr>
      </w:pPr>
      <w:r w:rsidRPr="00D13776">
        <w:rPr>
          <w:rFonts w:cstheme="minorHAnsi"/>
          <w:lang w:val="en-GB"/>
        </w:rPr>
        <w:t xml:space="preserve">Latest decisions: </w:t>
      </w:r>
      <w:r w:rsidRPr="006547BA">
        <w:rPr>
          <w:rFonts w:cstheme="minorHAnsi"/>
          <w:color w:val="000000"/>
          <w:shd w:val="clear" w:color="auto" w:fill="FFFFFF"/>
          <w:lang w:val="en-US"/>
        </w:rPr>
        <w:t>n/a</w:t>
      </w:r>
      <w:r w:rsidRPr="00D13776">
        <w:rPr>
          <w:rFonts w:cstheme="minorHAnsi"/>
          <w:color w:val="000000"/>
          <w:shd w:val="clear" w:color="auto" w:fill="FFFFFF"/>
          <w:lang w:val="en-GB"/>
        </w:rPr>
        <w:t xml:space="preserve"> </w:t>
      </w:r>
    </w:p>
    <w:p w14:paraId="7FE0E5D4" w14:textId="77777777" w:rsidR="0038333F" w:rsidRPr="00D13776" w:rsidRDefault="0038333F" w:rsidP="0038333F">
      <w:pPr>
        <w:spacing w:line="256" w:lineRule="auto"/>
        <w:jc w:val="both"/>
        <w:rPr>
          <w:rFonts w:cstheme="minorHAnsi"/>
          <w:color w:val="000000"/>
          <w:shd w:val="clear" w:color="auto" w:fill="FFFFFF"/>
          <w:lang w:val="en-GB"/>
        </w:rPr>
      </w:pPr>
      <w:r w:rsidRPr="00D13776">
        <w:rPr>
          <w:rFonts w:cstheme="minorHAnsi"/>
          <w:color w:val="000000"/>
          <w:shd w:val="clear" w:color="auto" w:fill="FFFFFF"/>
          <w:lang w:val="en-GB"/>
        </w:rPr>
        <w:t xml:space="preserve">Latest information: </w:t>
      </w:r>
      <w:r w:rsidRPr="00D13776">
        <w:rPr>
          <w:rFonts w:cstheme="minorHAnsi"/>
        </w:rPr>
        <w:t>n/a</w:t>
      </w:r>
    </w:p>
    <w:p w14:paraId="6581CFDA" w14:textId="77777777" w:rsidR="0038333F" w:rsidRPr="0003402A" w:rsidRDefault="0038333F" w:rsidP="008B6B20">
      <w:pPr>
        <w:autoSpaceDE w:val="0"/>
        <w:autoSpaceDN w:val="0"/>
        <w:jc w:val="both"/>
        <w:rPr>
          <w:rFonts w:ascii="Calibri" w:hAnsi="Calibri" w:cs="Calibri"/>
          <w:color w:val="000000"/>
          <w:lang w:val="en-US"/>
        </w:rPr>
      </w:pPr>
    </w:p>
    <w:p w14:paraId="6F23B9FC" w14:textId="77777777" w:rsidR="008B6B20" w:rsidRDefault="008B6B20">
      <w:pPr>
        <w:rPr>
          <w:rFonts w:cs="Arial"/>
          <w:color w:val="FFFFFF" w:themeColor="background1"/>
          <w:sz w:val="22"/>
          <w:szCs w:val="22"/>
          <w:shd w:val="clear" w:color="auto" w:fill="1F3864" w:themeFill="accent1" w:themeFillShade="80"/>
          <w:lang w:val="en-US"/>
        </w:rPr>
      </w:pPr>
    </w:p>
    <w:p w14:paraId="60871D3E" w14:textId="77777777" w:rsidR="00261E38" w:rsidRPr="00261E38" w:rsidRDefault="00261E38" w:rsidP="00261E38">
      <w:pPr>
        <w:keepNext/>
        <w:spacing w:before="320"/>
        <w:outlineLvl w:val="0"/>
        <w:rPr>
          <w:rFonts w:ascii="Calibri Light" w:eastAsia="Times New Roman" w:hAnsi="Calibri Light" w:cs="Calibri Light"/>
          <w:color w:val="2F5496"/>
          <w:kern w:val="36"/>
          <w:sz w:val="32"/>
          <w:szCs w:val="32"/>
          <w:lang w:val="en-US"/>
        </w:rPr>
      </w:pPr>
      <w:bookmarkStart w:id="3" w:name="_Toc36635832"/>
      <w:r w:rsidRPr="00AC4062">
        <w:rPr>
          <w:rFonts w:ascii="Calibri Light" w:eastAsia="Times New Roman" w:hAnsi="Calibri Light" w:cs="Calibri Light"/>
          <w:color w:val="2F5496"/>
          <w:kern w:val="36"/>
          <w:sz w:val="32"/>
          <w:szCs w:val="32"/>
          <w:lang w:val="en-US"/>
        </w:rPr>
        <w:t xml:space="preserve">II </w:t>
      </w:r>
      <w:r w:rsidRPr="00261E38">
        <w:rPr>
          <w:rFonts w:ascii="Calibri Light" w:eastAsia="Times New Roman" w:hAnsi="Calibri Light" w:cs="Calibri Light"/>
          <w:color w:val="2F5496"/>
          <w:kern w:val="36"/>
          <w:sz w:val="32"/>
          <w:szCs w:val="32"/>
          <w:lang w:val="en-US"/>
        </w:rPr>
        <w:t>Anti-corruption framework</w:t>
      </w:r>
      <w:bookmarkEnd w:id="3"/>
      <w:r w:rsidRPr="00261E38">
        <w:rPr>
          <w:rFonts w:ascii="Calibri Light" w:eastAsia="Times New Roman" w:hAnsi="Calibri Light" w:cs="Calibri Light"/>
          <w:color w:val="2F5496"/>
          <w:kern w:val="36"/>
          <w:sz w:val="32"/>
          <w:szCs w:val="32"/>
          <w:lang w:val="en-US"/>
        </w:rPr>
        <w:t xml:space="preserve"> </w:t>
      </w:r>
    </w:p>
    <w:p w14:paraId="3A79B202" w14:textId="77777777" w:rsidR="00261E38" w:rsidRPr="00261E38" w:rsidRDefault="00261E38" w:rsidP="00261E38">
      <w:pPr>
        <w:keepNext/>
        <w:spacing w:before="320"/>
        <w:outlineLvl w:val="0"/>
        <w:rPr>
          <w:rFonts w:ascii="Calibri Light" w:eastAsia="Times New Roman" w:hAnsi="Calibri Light" w:cs="Calibri Light"/>
          <w:color w:val="2F5496"/>
          <w:kern w:val="36"/>
          <w:sz w:val="32"/>
          <w:szCs w:val="32"/>
          <w:lang w:val="en-US"/>
        </w:rPr>
      </w:pPr>
    </w:p>
    <w:p w14:paraId="3BCDD8F3" w14:textId="77777777" w:rsidR="00AC4062" w:rsidRDefault="00AC4062" w:rsidP="00AC4062">
      <w:pPr>
        <w:pStyle w:val="NoSpacing"/>
        <w:rPr>
          <w:lang w:val="en-GB"/>
        </w:rPr>
      </w:pPr>
      <w:r>
        <w:rPr>
          <w:lang w:val="en-GB"/>
        </w:rPr>
        <w:t xml:space="preserve">MONEYVAL </w:t>
      </w:r>
    </w:p>
    <w:p w14:paraId="6308C10F" w14:textId="77777777" w:rsidR="00AC4062" w:rsidRDefault="00AC4062" w:rsidP="00AC4062">
      <w:pPr>
        <w:pStyle w:val="NoSpacing"/>
        <w:rPr>
          <w:lang w:val="en-GB"/>
        </w:rPr>
      </w:pPr>
      <w:r>
        <w:rPr>
          <w:lang w:val="en-GB"/>
        </w:rPr>
        <w:t>Launched 6</w:t>
      </w:r>
      <w:r w:rsidRPr="00831A31">
        <w:rPr>
          <w:vertAlign w:val="superscript"/>
          <w:lang w:val="en-GB"/>
        </w:rPr>
        <w:t>th</w:t>
      </w:r>
      <w:r>
        <w:rPr>
          <w:lang w:val="en-GB"/>
        </w:rPr>
        <w:t xml:space="preserve"> round of mutual evaluation in March 2024 and conducted the on-site visit from 4 to 15 November 2024</w:t>
      </w:r>
    </w:p>
    <w:p w14:paraId="61E35408" w14:textId="77777777" w:rsidR="00AC4062" w:rsidRDefault="00AC4062" w:rsidP="00AC4062">
      <w:pPr>
        <w:pStyle w:val="NoSpacing"/>
        <w:rPr>
          <w:lang w:val="en-GB"/>
        </w:rPr>
      </w:pPr>
    </w:p>
    <w:p w14:paraId="691BB336" w14:textId="77777777" w:rsidR="00AC4062" w:rsidRPr="00AC4062" w:rsidRDefault="00AC4062" w:rsidP="00AC4062">
      <w:pPr>
        <w:pStyle w:val="NoSpacing"/>
        <w:rPr>
          <w:lang w:val="it-IT"/>
        </w:rPr>
      </w:pPr>
      <w:r w:rsidRPr="00AC4062">
        <w:rPr>
          <w:lang w:val="it-IT"/>
        </w:rPr>
        <w:t xml:space="preserve">COP 198 </w:t>
      </w:r>
    </w:p>
    <w:p w14:paraId="66B70591" w14:textId="77777777" w:rsidR="00AC4062" w:rsidRPr="00AC4062" w:rsidRDefault="00AC4062" w:rsidP="00AC4062">
      <w:pPr>
        <w:pStyle w:val="NoSpacing"/>
        <w:rPr>
          <w:lang w:val="it-IT"/>
        </w:rPr>
      </w:pPr>
      <w:r w:rsidRPr="00AC4062">
        <w:rPr>
          <w:lang w:val="it-IT"/>
        </w:rPr>
        <w:t>N/A</w:t>
      </w:r>
    </w:p>
    <w:p w14:paraId="69AED270" w14:textId="77777777" w:rsidR="00261E38" w:rsidRPr="00AC4062" w:rsidRDefault="00261E38" w:rsidP="00261E38">
      <w:pPr>
        <w:keepNext/>
        <w:spacing w:before="320"/>
        <w:outlineLvl w:val="0"/>
        <w:rPr>
          <w:rFonts w:ascii="Calibri Light" w:eastAsia="Times New Roman" w:hAnsi="Calibri Light" w:cs="Calibri Light"/>
          <w:color w:val="2F5496"/>
          <w:kern w:val="36"/>
          <w:sz w:val="32"/>
          <w:szCs w:val="32"/>
          <w:lang w:val="it-IT"/>
        </w:rPr>
      </w:pPr>
    </w:p>
    <w:p w14:paraId="72CBF91D" w14:textId="77777777" w:rsidR="00261E38" w:rsidRPr="00AC4062" w:rsidRDefault="00261E38" w:rsidP="00261E38">
      <w:pPr>
        <w:keepNext/>
        <w:spacing w:before="320"/>
        <w:outlineLvl w:val="0"/>
        <w:rPr>
          <w:rFonts w:ascii="Calibri Light" w:eastAsia="Times New Roman" w:hAnsi="Calibri Light" w:cs="Calibri Light"/>
          <w:color w:val="2F5496"/>
          <w:kern w:val="36"/>
          <w:sz w:val="32"/>
          <w:szCs w:val="32"/>
          <w:lang w:val="it-IT"/>
        </w:rPr>
      </w:pPr>
    </w:p>
    <w:p w14:paraId="1620B2FE" w14:textId="77777777" w:rsidR="00261E38" w:rsidRPr="00AC4062" w:rsidRDefault="00261E38" w:rsidP="00261E38">
      <w:pPr>
        <w:keepNext/>
        <w:spacing w:before="320"/>
        <w:outlineLvl w:val="0"/>
        <w:rPr>
          <w:rFonts w:ascii="Calibri Light" w:eastAsia="Times New Roman" w:hAnsi="Calibri Light" w:cs="Calibri Light"/>
          <w:color w:val="2F5496"/>
          <w:kern w:val="36"/>
          <w:sz w:val="32"/>
          <w:szCs w:val="32"/>
          <w:lang w:val="it-IT"/>
        </w:rPr>
      </w:pPr>
      <w:bookmarkStart w:id="4" w:name="_Toc36635845"/>
      <w:r w:rsidRPr="00AC4062">
        <w:rPr>
          <w:rFonts w:ascii="Calibri Light" w:eastAsia="Times New Roman" w:hAnsi="Calibri Light" w:cs="Calibri Light"/>
          <w:color w:val="2F5496"/>
          <w:kern w:val="36"/>
          <w:sz w:val="32"/>
          <w:szCs w:val="32"/>
          <w:lang w:val="it-IT"/>
        </w:rPr>
        <w:t>III Media pluralism</w:t>
      </w:r>
      <w:bookmarkEnd w:id="4"/>
      <w:r w:rsidRPr="00AC4062">
        <w:rPr>
          <w:rFonts w:ascii="Calibri Light" w:eastAsia="Times New Roman" w:hAnsi="Calibri Light" w:cs="Calibri Light"/>
          <w:color w:val="2F5496"/>
          <w:kern w:val="36"/>
          <w:sz w:val="32"/>
          <w:szCs w:val="32"/>
          <w:lang w:val="it-IT"/>
        </w:rPr>
        <w:t xml:space="preserve"> </w:t>
      </w:r>
    </w:p>
    <w:p w14:paraId="7F7F6BA6" w14:textId="77777777" w:rsidR="00261E38" w:rsidRPr="00AC4062" w:rsidRDefault="00261E38" w:rsidP="00261E38">
      <w:pPr>
        <w:keepNext/>
        <w:spacing w:before="320"/>
        <w:outlineLvl w:val="0"/>
        <w:rPr>
          <w:rFonts w:ascii="Calibri Light" w:eastAsia="Times New Roman" w:hAnsi="Calibri Light" w:cs="Calibri Light"/>
          <w:color w:val="2F5496"/>
          <w:kern w:val="36"/>
          <w:sz w:val="32"/>
          <w:szCs w:val="32"/>
          <w:lang w:val="it-IT"/>
        </w:rPr>
      </w:pPr>
    </w:p>
    <w:p w14:paraId="5651B40B" w14:textId="77777777" w:rsidR="00261E38" w:rsidRPr="00AC4062" w:rsidRDefault="00261E38" w:rsidP="00261E38">
      <w:pPr>
        <w:keepNext/>
        <w:spacing w:before="320"/>
        <w:outlineLvl w:val="0"/>
        <w:rPr>
          <w:rFonts w:ascii="Calibri Light" w:eastAsia="Times New Roman" w:hAnsi="Calibri Light" w:cs="Calibri Light"/>
          <w:color w:val="2F5496"/>
          <w:kern w:val="36"/>
          <w:sz w:val="32"/>
          <w:szCs w:val="32"/>
          <w:lang w:val="it-IT"/>
        </w:rPr>
      </w:pPr>
    </w:p>
    <w:p w14:paraId="1774E3D7" w14:textId="77777777" w:rsidR="00261E38" w:rsidRPr="00261E38" w:rsidRDefault="00261E38" w:rsidP="00261E38">
      <w:pPr>
        <w:keepNext/>
        <w:spacing w:before="320"/>
        <w:outlineLvl w:val="0"/>
        <w:rPr>
          <w:rFonts w:ascii="Calibri Light" w:eastAsia="Times New Roman" w:hAnsi="Calibri Light" w:cs="Calibri Light"/>
          <w:color w:val="2F5496"/>
          <w:kern w:val="36"/>
          <w:sz w:val="32"/>
          <w:szCs w:val="32"/>
          <w:lang w:val="en-US"/>
        </w:rPr>
      </w:pPr>
      <w:bookmarkStart w:id="5" w:name="_Toc36635858"/>
      <w:r w:rsidRPr="00261E38">
        <w:rPr>
          <w:rFonts w:ascii="Calibri Light" w:eastAsia="Times New Roman" w:hAnsi="Calibri Light" w:cs="Calibri Light"/>
          <w:color w:val="2F5496"/>
          <w:kern w:val="36"/>
          <w:sz w:val="32"/>
          <w:szCs w:val="32"/>
          <w:lang w:val="en-US"/>
        </w:rPr>
        <w:t>IV Other institutional issues related to checks and balances</w:t>
      </w:r>
      <w:bookmarkEnd w:id="5"/>
      <w:r w:rsidRPr="00261E38">
        <w:rPr>
          <w:rFonts w:ascii="Calibri Light" w:eastAsia="Times New Roman" w:hAnsi="Calibri Light" w:cs="Calibri Light"/>
          <w:color w:val="2F5496"/>
          <w:kern w:val="36"/>
          <w:sz w:val="32"/>
          <w:szCs w:val="32"/>
          <w:lang w:val="en-US"/>
        </w:rPr>
        <w:t xml:space="preserve"> </w:t>
      </w:r>
    </w:p>
    <w:p w14:paraId="7B461741" w14:textId="77777777" w:rsidR="00261E38" w:rsidRPr="008B6B20" w:rsidRDefault="00261E38">
      <w:pPr>
        <w:rPr>
          <w:rFonts w:cs="Arial"/>
          <w:color w:val="FFFFFF" w:themeColor="background1"/>
          <w:sz w:val="22"/>
          <w:szCs w:val="22"/>
          <w:shd w:val="clear" w:color="auto" w:fill="1F3864" w:themeFill="accent1" w:themeFillShade="80"/>
          <w:lang w:val="en-US"/>
        </w:rPr>
      </w:pPr>
    </w:p>
    <w:sectPr w:rsidR="00261E38" w:rsidRPr="008B6B20" w:rsidSect="007B3B82">
      <w:footerReference w:type="default" r:id="rId17"/>
      <w:footerReference w:type="first" r:id="rId1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3E143" w14:textId="77777777" w:rsidR="000A72A2" w:rsidRDefault="000A72A2" w:rsidP="00857FF1">
      <w:r>
        <w:separator/>
      </w:r>
    </w:p>
  </w:endnote>
  <w:endnote w:type="continuationSeparator" w:id="0">
    <w:p w14:paraId="0D1A40D6" w14:textId="77777777" w:rsidR="000A72A2" w:rsidRDefault="000A72A2"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3A3E9" w14:textId="77777777" w:rsidR="000A72A2" w:rsidRDefault="000A72A2" w:rsidP="00857FF1">
      <w:r>
        <w:separator/>
      </w:r>
    </w:p>
  </w:footnote>
  <w:footnote w:type="continuationSeparator" w:id="0">
    <w:p w14:paraId="15ED555A" w14:textId="77777777" w:rsidR="000A72A2" w:rsidRDefault="000A72A2"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76B68"/>
    <w:multiLevelType w:val="hybridMultilevel"/>
    <w:tmpl w:val="240C69B2"/>
    <w:lvl w:ilvl="0" w:tplc="29F4D8F8">
      <w:start w:val="1"/>
      <w:numFmt w:val="decimal"/>
      <w:lvlText w:val="%1."/>
      <w:lvlJc w:val="left"/>
      <w:pPr>
        <w:ind w:left="720" w:hanging="360"/>
      </w:pPr>
    </w:lvl>
    <w:lvl w:ilvl="1" w:tplc="5F9682A0">
      <w:start w:val="1"/>
      <w:numFmt w:val="lowerLetter"/>
      <w:lvlText w:val="%2."/>
      <w:lvlJc w:val="left"/>
      <w:pPr>
        <w:ind w:left="1440" w:hanging="360"/>
      </w:pPr>
    </w:lvl>
    <w:lvl w:ilvl="2" w:tplc="C7220158">
      <w:start w:val="1"/>
      <w:numFmt w:val="lowerRoman"/>
      <w:lvlText w:val="%3."/>
      <w:lvlJc w:val="right"/>
      <w:pPr>
        <w:ind w:left="2160" w:hanging="180"/>
      </w:pPr>
    </w:lvl>
    <w:lvl w:ilvl="3" w:tplc="DF068E62">
      <w:start w:val="1"/>
      <w:numFmt w:val="decimal"/>
      <w:lvlText w:val="%4."/>
      <w:lvlJc w:val="left"/>
      <w:pPr>
        <w:ind w:left="2880" w:hanging="360"/>
      </w:pPr>
    </w:lvl>
    <w:lvl w:ilvl="4" w:tplc="BF00FA22">
      <w:start w:val="1"/>
      <w:numFmt w:val="lowerLetter"/>
      <w:lvlText w:val="%5."/>
      <w:lvlJc w:val="left"/>
      <w:pPr>
        <w:ind w:left="3600" w:hanging="360"/>
      </w:pPr>
    </w:lvl>
    <w:lvl w:ilvl="5" w:tplc="902E99CE">
      <w:start w:val="1"/>
      <w:numFmt w:val="lowerRoman"/>
      <w:lvlText w:val="%6."/>
      <w:lvlJc w:val="right"/>
      <w:pPr>
        <w:ind w:left="4320" w:hanging="180"/>
      </w:pPr>
    </w:lvl>
    <w:lvl w:ilvl="6" w:tplc="2472ABDA">
      <w:start w:val="1"/>
      <w:numFmt w:val="decimal"/>
      <w:lvlText w:val="%7."/>
      <w:lvlJc w:val="left"/>
      <w:pPr>
        <w:ind w:left="5040" w:hanging="360"/>
      </w:pPr>
    </w:lvl>
    <w:lvl w:ilvl="7" w:tplc="5B703CC4">
      <w:start w:val="1"/>
      <w:numFmt w:val="lowerLetter"/>
      <w:lvlText w:val="%8."/>
      <w:lvlJc w:val="left"/>
      <w:pPr>
        <w:ind w:left="5760" w:hanging="360"/>
      </w:pPr>
    </w:lvl>
    <w:lvl w:ilvl="8" w:tplc="8556AECE">
      <w:start w:val="1"/>
      <w:numFmt w:val="lowerRoman"/>
      <w:lvlText w:val="%9."/>
      <w:lvlJc w:val="right"/>
      <w:pPr>
        <w:ind w:left="6480" w:hanging="180"/>
      </w:pPr>
    </w:lvl>
  </w:abstractNum>
  <w:abstractNum w:abstractNumId="1"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5" w15:restartNumberingAfterBreak="0">
    <w:nsid w:val="1264449C"/>
    <w:multiLevelType w:val="hybridMultilevel"/>
    <w:tmpl w:val="B17455EA"/>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464765E9"/>
    <w:multiLevelType w:val="hybridMultilevel"/>
    <w:tmpl w:val="3AD67898"/>
    <w:lvl w:ilvl="0" w:tplc="CEBECA88">
      <w:start w:val="5"/>
      <w:numFmt w:val="bullet"/>
      <w:lvlText w:val="-"/>
      <w:lvlJc w:val="left"/>
      <w:pPr>
        <w:ind w:left="720" w:hanging="360"/>
      </w:pPr>
      <w:rPr>
        <w:rFonts w:ascii="Calibri" w:eastAsiaTheme="minorEastAsia" w:hAnsi="Calibri" w:cs="Calibri"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0D0FDDC"/>
    <w:multiLevelType w:val="hybridMultilevel"/>
    <w:tmpl w:val="AA8070FA"/>
    <w:lvl w:ilvl="0" w:tplc="AD40F93A">
      <w:start w:val="1"/>
      <w:numFmt w:val="bullet"/>
      <w:lvlText w:val=""/>
      <w:lvlJc w:val="left"/>
      <w:pPr>
        <w:ind w:left="720" w:hanging="360"/>
      </w:pPr>
      <w:rPr>
        <w:rFonts w:ascii="Symbol" w:hAnsi="Symbol" w:hint="default"/>
      </w:rPr>
    </w:lvl>
    <w:lvl w:ilvl="1" w:tplc="CA9C5A36">
      <w:start w:val="1"/>
      <w:numFmt w:val="bullet"/>
      <w:lvlText w:val="o"/>
      <w:lvlJc w:val="left"/>
      <w:pPr>
        <w:ind w:left="1440" w:hanging="360"/>
      </w:pPr>
      <w:rPr>
        <w:rFonts w:ascii="Courier New" w:hAnsi="Courier New" w:hint="default"/>
      </w:rPr>
    </w:lvl>
    <w:lvl w:ilvl="2" w:tplc="42FACC38">
      <w:start w:val="1"/>
      <w:numFmt w:val="bullet"/>
      <w:lvlText w:val=""/>
      <w:lvlJc w:val="left"/>
      <w:pPr>
        <w:ind w:left="2160" w:hanging="360"/>
      </w:pPr>
      <w:rPr>
        <w:rFonts w:ascii="Wingdings" w:hAnsi="Wingdings" w:hint="default"/>
      </w:rPr>
    </w:lvl>
    <w:lvl w:ilvl="3" w:tplc="1A929928">
      <w:start w:val="1"/>
      <w:numFmt w:val="bullet"/>
      <w:lvlText w:val=""/>
      <w:lvlJc w:val="left"/>
      <w:pPr>
        <w:ind w:left="2880" w:hanging="360"/>
      </w:pPr>
      <w:rPr>
        <w:rFonts w:ascii="Symbol" w:hAnsi="Symbol" w:hint="default"/>
      </w:rPr>
    </w:lvl>
    <w:lvl w:ilvl="4" w:tplc="2B2EE9FC">
      <w:start w:val="1"/>
      <w:numFmt w:val="bullet"/>
      <w:lvlText w:val="o"/>
      <w:lvlJc w:val="left"/>
      <w:pPr>
        <w:ind w:left="3600" w:hanging="360"/>
      </w:pPr>
      <w:rPr>
        <w:rFonts w:ascii="Courier New" w:hAnsi="Courier New" w:hint="default"/>
      </w:rPr>
    </w:lvl>
    <w:lvl w:ilvl="5" w:tplc="2E9CA402">
      <w:start w:val="1"/>
      <w:numFmt w:val="bullet"/>
      <w:lvlText w:val=""/>
      <w:lvlJc w:val="left"/>
      <w:pPr>
        <w:ind w:left="4320" w:hanging="360"/>
      </w:pPr>
      <w:rPr>
        <w:rFonts w:ascii="Wingdings" w:hAnsi="Wingdings" w:hint="default"/>
      </w:rPr>
    </w:lvl>
    <w:lvl w:ilvl="6" w:tplc="9250A65C">
      <w:start w:val="1"/>
      <w:numFmt w:val="bullet"/>
      <w:lvlText w:val=""/>
      <w:lvlJc w:val="left"/>
      <w:pPr>
        <w:ind w:left="5040" w:hanging="360"/>
      </w:pPr>
      <w:rPr>
        <w:rFonts w:ascii="Symbol" w:hAnsi="Symbol" w:hint="default"/>
      </w:rPr>
    </w:lvl>
    <w:lvl w:ilvl="7" w:tplc="8A14C86A">
      <w:start w:val="1"/>
      <w:numFmt w:val="bullet"/>
      <w:lvlText w:val="o"/>
      <w:lvlJc w:val="left"/>
      <w:pPr>
        <w:ind w:left="5760" w:hanging="360"/>
      </w:pPr>
      <w:rPr>
        <w:rFonts w:ascii="Courier New" w:hAnsi="Courier New" w:hint="default"/>
      </w:rPr>
    </w:lvl>
    <w:lvl w:ilvl="8" w:tplc="20E43DE4">
      <w:start w:val="1"/>
      <w:numFmt w:val="bullet"/>
      <w:lvlText w:val=""/>
      <w:lvlJc w:val="left"/>
      <w:pPr>
        <w:ind w:left="6480" w:hanging="360"/>
      </w:pPr>
      <w:rPr>
        <w:rFonts w:ascii="Wingdings" w:hAnsi="Wingdings" w:hint="default"/>
      </w:rPr>
    </w:lvl>
  </w:abstractNum>
  <w:num w:numId="1" w16cid:durableId="15568883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3220263">
    <w:abstractNumId w:val="3"/>
  </w:num>
  <w:num w:numId="3" w16cid:durableId="1419709812">
    <w:abstractNumId w:val="6"/>
  </w:num>
  <w:num w:numId="4" w16cid:durableId="535509000">
    <w:abstractNumId w:val="4"/>
  </w:num>
  <w:num w:numId="5" w16cid:durableId="189495804">
    <w:abstractNumId w:val="9"/>
  </w:num>
  <w:num w:numId="6" w16cid:durableId="2070767956">
    <w:abstractNumId w:val="5"/>
  </w:num>
  <w:num w:numId="7" w16cid:durableId="1484002443">
    <w:abstractNumId w:val="7"/>
  </w:num>
  <w:num w:numId="8" w16cid:durableId="1293099640">
    <w:abstractNumId w:val="7"/>
  </w:num>
  <w:num w:numId="9" w16cid:durableId="196361223">
    <w:abstractNumId w:val="2"/>
  </w:num>
  <w:num w:numId="10" w16cid:durableId="1182088185">
    <w:abstractNumId w:val="8"/>
  </w:num>
  <w:num w:numId="11" w16cid:durableId="360477782">
    <w:abstractNumId w:val="11"/>
  </w:num>
  <w:num w:numId="12" w16cid:durableId="1540388124">
    <w:abstractNumId w:val="0"/>
  </w:num>
  <w:num w:numId="13" w16cid:durableId="150812959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230EA"/>
    <w:rsid w:val="00032B5D"/>
    <w:rsid w:val="000500C4"/>
    <w:rsid w:val="00057AA5"/>
    <w:rsid w:val="00062CBC"/>
    <w:rsid w:val="00064AF2"/>
    <w:rsid w:val="000707C5"/>
    <w:rsid w:val="00071D69"/>
    <w:rsid w:val="00084C0B"/>
    <w:rsid w:val="00085157"/>
    <w:rsid w:val="00095F4E"/>
    <w:rsid w:val="000A0236"/>
    <w:rsid w:val="000A72A2"/>
    <w:rsid w:val="000B223F"/>
    <w:rsid w:val="000B4984"/>
    <w:rsid w:val="000C1783"/>
    <w:rsid w:val="000E51C1"/>
    <w:rsid w:val="000F73A4"/>
    <w:rsid w:val="001029E2"/>
    <w:rsid w:val="0011349E"/>
    <w:rsid w:val="00123EAE"/>
    <w:rsid w:val="0012499E"/>
    <w:rsid w:val="001257E8"/>
    <w:rsid w:val="001272D8"/>
    <w:rsid w:val="001279C3"/>
    <w:rsid w:val="00152FC1"/>
    <w:rsid w:val="00157DFE"/>
    <w:rsid w:val="001621AD"/>
    <w:rsid w:val="00167680"/>
    <w:rsid w:val="001708DF"/>
    <w:rsid w:val="00172847"/>
    <w:rsid w:val="00184BFB"/>
    <w:rsid w:val="00187CD1"/>
    <w:rsid w:val="00194CC7"/>
    <w:rsid w:val="001A0B36"/>
    <w:rsid w:val="001A0CF1"/>
    <w:rsid w:val="001C77D8"/>
    <w:rsid w:val="001D0AE0"/>
    <w:rsid w:val="001E0EB7"/>
    <w:rsid w:val="002027E7"/>
    <w:rsid w:val="002077C4"/>
    <w:rsid w:val="0021059A"/>
    <w:rsid w:val="00252DBE"/>
    <w:rsid w:val="00252F46"/>
    <w:rsid w:val="00254902"/>
    <w:rsid w:val="00255C44"/>
    <w:rsid w:val="00261E38"/>
    <w:rsid w:val="00263456"/>
    <w:rsid w:val="00265693"/>
    <w:rsid w:val="002665BC"/>
    <w:rsid w:val="00267E73"/>
    <w:rsid w:val="00282225"/>
    <w:rsid w:val="0028366A"/>
    <w:rsid w:val="002864ED"/>
    <w:rsid w:val="00287289"/>
    <w:rsid w:val="002911B3"/>
    <w:rsid w:val="002A4E7E"/>
    <w:rsid w:val="002B2FF2"/>
    <w:rsid w:val="002C68B0"/>
    <w:rsid w:val="002D1BBF"/>
    <w:rsid w:val="002D3720"/>
    <w:rsid w:val="002D61AB"/>
    <w:rsid w:val="002E1CA9"/>
    <w:rsid w:val="002E779C"/>
    <w:rsid w:val="003048B6"/>
    <w:rsid w:val="003152F6"/>
    <w:rsid w:val="0033407D"/>
    <w:rsid w:val="00351BFE"/>
    <w:rsid w:val="00354D3F"/>
    <w:rsid w:val="003572C2"/>
    <w:rsid w:val="0036132D"/>
    <w:rsid w:val="00365602"/>
    <w:rsid w:val="0036606F"/>
    <w:rsid w:val="00372B8F"/>
    <w:rsid w:val="00372F92"/>
    <w:rsid w:val="003732BD"/>
    <w:rsid w:val="00380DB3"/>
    <w:rsid w:val="0038333F"/>
    <w:rsid w:val="003A5BC3"/>
    <w:rsid w:val="003F0C2C"/>
    <w:rsid w:val="003F4E0F"/>
    <w:rsid w:val="004012A1"/>
    <w:rsid w:val="004013FD"/>
    <w:rsid w:val="00405191"/>
    <w:rsid w:val="00411F51"/>
    <w:rsid w:val="00424436"/>
    <w:rsid w:val="00424AE6"/>
    <w:rsid w:val="00434E92"/>
    <w:rsid w:val="00443197"/>
    <w:rsid w:val="00457269"/>
    <w:rsid w:val="00464735"/>
    <w:rsid w:val="004671FB"/>
    <w:rsid w:val="00471625"/>
    <w:rsid w:val="00491D94"/>
    <w:rsid w:val="0049205D"/>
    <w:rsid w:val="00496B58"/>
    <w:rsid w:val="004A628B"/>
    <w:rsid w:val="004B2966"/>
    <w:rsid w:val="004B4189"/>
    <w:rsid w:val="004C29C8"/>
    <w:rsid w:val="004C37B3"/>
    <w:rsid w:val="004C7D34"/>
    <w:rsid w:val="004D4A7E"/>
    <w:rsid w:val="004D4CB4"/>
    <w:rsid w:val="004E1ACA"/>
    <w:rsid w:val="004E3023"/>
    <w:rsid w:val="004E72B6"/>
    <w:rsid w:val="00530EC5"/>
    <w:rsid w:val="0054551A"/>
    <w:rsid w:val="0056639A"/>
    <w:rsid w:val="0057123C"/>
    <w:rsid w:val="005728A3"/>
    <w:rsid w:val="00573CDC"/>
    <w:rsid w:val="005813CD"/>
    <w:rsid w:val="005837EC"/>
    <w:rsid w:val="00597295"/>
    <w:rsid w:val="005A3425"/>
    <w:rsid w:val="005B2725"/>
    <w:rsid w:val="005B37E9"/>
    <w:rsid w:val="005D4AD7"/>
    <w:rsid w:val="005D7294"/>
    <w:rsid w:val="005E17CB"/>
    <w:rsid w:val="005E1A73"/>
    <w:rsid w:val="005E381E"/>
    <w:rsid w:val="00600946"/>
    <w:rsid w:val="00600E03"/>
    <w:rsid w:val="00602398"/>
    <w:rsid w:val="0061214D"/>
    <w:rsid w:val="00636AF8"/>
    <w:rsid w:val="00647D6B"/>
    <w:rsid w:val="006502C5"/>
    <w:rsid w:val="0065310F"/>
    <w:rsid w:val="0066401C"/>
    <w:rsid w:val="00680789"/>
    <w:rsid w:val="00683C6A"/>
    <w:rsid w:val="006871F9"/>
    <w:rsid w:val="006952AF"/>
    <w:rsid w:val="0069684E"/>
    <w:rsid w:val="006B6601"/>
    <w:rsid w:val="006C5AF1"/>
    <w:rsid w:val="006C758C"/>
    <w:rsid w:val="006D3771"/>
    <w:rsid w:val="006D695E"/>
    <w:rsid w:val="00702CE9"/>
    <w:rsid w:val="007323D4"/>
    <w:rsid w:val="00734D8B"/>
    <w:rsid w:val="00742FA8"/>
    <w:rsid w:val="00744D22"/>
    <w:rsid w:val="00756962"/>
    <w:rsid w:val="0076072F"/>
    <w:rsid w:val="0076444E"/>
    <w:rsid w:val="00772288"/>
    <w:rsid w:val="007959C1"/>
    <w:rsid w:val="007A270E"/>
    <w:rsid w:val="007B3B82"/>
    <w:rsid w:val="007C7229"/>
    <w:rsid w:val="007D198D"/>
    <w:rsid w:val="007D262D"/>
    <w:rsid w:val="007E2BE3"/>
    <w:rsid w:val="007F2A4E"/>
    <w:rsid w:val="007F352D"/>
    <w:rsid w:val="008131ED"/>
    <w:rsid w:val="00833496"/>
    <w:rsid w:val="00833AA1"/>
    <w:rsid w:val="00840C74"/>
    <w:rsid w:val="00857FF1"/>
    <w:rsid w:val="008617BA"/>
    <w:rsid w:val="00861CFB"/>
    <w:rsid w:val="0087426C"/>
    <w:rsid w:val="00887319"/>
    <w:rsid w:val="00893779"/>
    <w:rsid w:val="008A6094"/>
    <w:rsid w:val="008B037C"/>
    <w:rsid w:val="008B6B20"/>
    <w:rsid w:val="008C2E4F"/>
    <w:rsid w:val="008C38E9"/>
    <w:rsid w:val="008C51BC"/>
    <w:rsid w:val="008C605D"/>
    <w:rsid w:val="008D124A"/>
    <w:rsid w:val="008D5A29"/>
    <w:rsid w:val="008E1947"/>
    <w:rsid w:val="0090195D"/>
    <w:rsid w:val="00906927"/>
    <w:rsid w:val="00906B87"/>
    <w:rsid w:val="009522DA"/>
    <w:rsid w:val="00976663"/>
    <w:rsid w:val="009841C3"/>
    <w:rsid w:val="009850FB"/>
    <w:rsid w:val="009854E0"/>
    <w:rsid w:val="00990630"/>
    <w:rsid w:val="009A2638"/>
    <w:rsid w:val="009A43B8"/>
    <w:rsid w:val="009B0401"/>
    <w:rsid w:val="009B7531"/>
    <w:rsid w:val="009C37BA"/>
    <w:rsid w:val="009C3A55"/>
    <w:rsid w:val="009C537B"/>
    <w:rsid w:val="009D5FD8"/>
    <w:rsid w:val="009D68A7"/>
    <w:rsid w:val="009E4C05"/>
    <w:rsid w:val="009F137B"/>
    <w:rsid w:val="00A0524A"/>
    <w:rsid w:val="00A219EE"/>
    <w:rsid w:val="00A36CCA"/>
    <w:rsid w:val="00A42F38"/>
    <w:rsid w:val="00A43E9B"/>
    <w:rsid w:val="00A476D7"/>
    <w:rsid w:val="00A52988"/>
    <w:rsid w:val="00A53917"/>
    <w:rsid w:val="00A54D19"/>
    <w:rsid w:val="00A70E18"/>
    <w:rsid w:val="00A7220C"/>
    <w:rsid w:val="00A726B1"/>
    <w:rsid w:val="00A745D4"/>
    <w:rsid w:val="00A75E87"/>
    <w:rsid w:val="00A82B5B"/>
    <w:rsid w:val="00A84BB2"/>
    <w:rsid w:val="00AA1BBD"/>
    <w:rsid w:val="00AA2156"/>
    <w:rsid w:val="00AA476A"/>
    <w:rsid w:val="00AB0698"/>
    <w:rsid w:val="00AB195E"/>
    <w:rsid w:val="00AC4062"/>
    <w:rsid w:val="00AC541D"/>
    <w:rsid w:val="00AC6FD7"/>
    <w:rsid w:val="00AD3544"/>
    <w:rsid w:val="00AD4A17"/>
    <w:rsid w:val="00AD5BD0"/>
    <w:rsid w:val="00AF2279"/>
    <w:rsid w:val="00AF4B2D"/>
    <w:rsid w:val="00AF5605"/>
    <w:rsid w:val="00B22E3E"/>
    <w:rsid w:val="00B2424D"/>
    <w:rsid w:val="00B35012"/>
    <w:rsid w:val="00B36582"/>
    <w:rsid w:val="00B52587"/>
    <w:rsid w:val="00B538F1"/>
    <w:rsid w:val="00B807B6"/>
    <w:rsid w:val="00BB6FC3"/>
    <w:rsid w:val="00BD211A"/>
    <w:rsid w:val="00BD26EA"/>
    <w:rsid w:val="00BE1EE0"/>
    <w:rsid w:val="00BE2ADB"/>
    <w:rsid w:val="00BF5595"/>
    <w:rsid w:val="00C003A4"/>
    <w:rsid w:val="00C06969"/>
    <w:rsid w:val="00C06D56"/>
    <w:rsid w:val="00C25237"/>
    <w:rsid w:val="00C45527"/>
    <w:rsid w:val="00C5444D"/>
    <w:rsid w:val="00C75135"/>
    <w:rsid w:val="00C848FF"/>
    <w:rsid w:val="00C86F4B"/>
    <w:rsid w:val="00CC09C0"/>
    <w:rsid w:val="00CC0E4F"/>
    <w:rsid w:val="00CC5ABF"/>
    <w:rsid w:val="00CD7F9C"/>
    <w:rsid w:val="00CF0660"/>
    <w:rsid w:val="00CF1C6F"/>
    <w:rsid w:val="00D15B02"/>
    <w:rsid w:val="00D20872"/>
    <w:rsid w:val="00D31EA3"/>
    <w:rsid w:val="00D36177"/>
    <w:rsid w:val="00D37016"/>
    <w:rsid w:val="00D447C9"/>
    <w:rsid w:val="00D45CD6"/>
    <w:rsid w:val="00D66D1D"/>
    <w:rsid w:val="00D96E9B"/>
    <w:rsid w:val="00DA55DC"/>
    <w:rsid w:val="00DB1AB7"/>
    <w:rsid w:val="00DC7320"/>
    <w:rsid w:val="00DF19D6"/>
    <w:rsid w:val="00DF7C08"/>
    <w:rsid w:val="00E13798"/>
    <w:rsid w:val="00E147EE"/>
    <w:rsid w:val="00E2087D"/>
    <w:rsid w:val="00E26C9B"/>
    <w:rsid w:val="00E27691"/>
    <w:rsid w:val="00E429AF"/>
    <w:rsid w:val="00E53615"/>
    <w:rsid w:val="00E56906"/>
    <w:rsid w:val="00E81708"/>
    <w:rsid w:val="00E90AB0"/>
    <w:rsid w:val="00EA39A6"/>
    <w:rsid w:val="00ED1080"/>
    <w:rsid w:val="00ED2EDB"/>
    <w:rsid w:val="00ED7B5B"/>
    <w:rsid w:val="00EE24A2"/>
    <w:rsid w:val="00EF5D3B"/>
    <w:rsid w:val="00F070DD"/>
    <w:rsid w:val="00F3151D"/>
    <w:rsid w:val="00F375C2"/>
    <w:rsid w:val="00F448D1"/>
    <w:rsid w:val="00F5679C"/>
    <w:rsid w:val="00F71177"/>
    <w:rsid w:val="00F7793C"/>
    <w:rsid w:val="00F8213F"/>
    <w:rsid w:val="00F847EB"/>
    <w:rsid w:val="00F91B36"/>
    <w:rsid w:val="00F973E9"/>
    <w:rsid w:val="00FA480D"/>
    <w:rsid w:val="00FB69AF"/>
    <w:rsid w:val="00FC1E1D"/>
    <w:rsid w:val="00FC335B"/>
    <w:rsid w:val="00FE3A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197"/>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36606F"/>
  </w:style>
  <w:style w:type="character" w:customStyle="1" w:styleId="gray">
    <w:name w:val="gray"/>
    <w:basedOn w:val="DefaultParagraphFont"/>
    <w:rsid w:val="0036606F"/>
  </w:style>
  <w:style w:type="character" w:customStyle="1" w:styleId="apple-converted-space">
    <w:name w:val="apple-converted-space"/>
    <w:basedOn w:val="DefaultParagraphFont"/>
    <w:rsid w:val="00E429AF"/>
  </w:style>
  <w:style w:type="paragraph" w:customStyle="1" w:styleId="COEHI">
    <w:name w:val="COE_HI"/>
    <w:basedOn w:val="Normal"/>
    <w:qFormat/>
    <w:rsid w:val="0076072F"/>
    <w:pPr>
      <w:numPr>
        <w:numId w:val="7"/>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4D4CB4"/>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4D4CB4"/>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4D4CB4"/>
    <w:rPr>
      <w:rFonts w:ascii="Calibri" w:eastAsiaTheme="minorHAnsi" w:hAnsi="Calibri" w:cs="Calibri"/>
      <w:sz w:val="22"/>
      <w:szCs w:val="22"/>
      <w:lang w:eastAsia="fr-FR"/>
    </w:rPr>
  </w:style>
  <w:style w:type="character" w:customStyle="1" w:styleId="docref1">
    <w:name w:val="docref1"/>
    <w:basedOn w:val="DefaultParagraphFont"/>
    <w:rsid w:val="002E1CA9"/>
    <w:rPr>
      <w:b/>
      <w:bCs/>
    </w:rPr>
  </w:style>
  <w:style w:type="paragraph" w:customStyle="1" w:styleId="xxxxxmsonormal">
    <w:name w:val="x_x_x_x_xmsonormal"/>
    <w:basedOn w:val="Normal"/>
    <w:rsid w:val="00EF5D3B"/>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0F73A4"/>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sbb9ee52a">
    <w:name w:val="sbb9ee52a"/>
    <w:basedOn w:val="DefaultParagraphFont"/>
    <w:rsid w:val="00E2087D"/>
  </w:style>
  <w:style w:type="character" w:customStyle="1" w:styleId="s4b8d41ee">
    <w:name w:val="s4b8d41ee"/>
    <w:basedOn w:val="DefaultParagraphFont"/>
    <w:rsid w:val="00E2087D"/>
  </w:style>
  <w:style w:type="paragraph" w:customStyle="1" w:styleId="s2eb42ed2">
    <w:name w:val="s2eb42ed2"/>
    <w:basedOn w:val="Normal"/>
    <w:rsid w:val="0038333F"/>
    <w:pPr>
      <w:spacing w:before="100" w:beforeAutospacing="1" w:after="100" w:afterAutospacing="1"/>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8041">
      <w:bodyDiv w:val="1"/>
      <w:marLeft w:val="0"/>
      <w:marRight w:val="0"/>
      <w:marTop w:val="0"/>
      <w:marBottom w:val="0"/>
      <w:divBdr>
        <w:top w:val="none" w:sz="0" w:space="0" w:color="auto"/>
        <w:left w:val="none" w:sz="0" w:space="0" w:color="auto"/>
        <w:bottom w:val="none" w:sz="0" w:space="0" w:color="auto"/>
        <w:right w:val="none" w:sz="0" w:space="0" w:color="auto"/>
      </w:divBdr>
    </w:div>
    <w:div w:id="64839450">
      <w:bodyDiv w:val="1"/>
      <w:marLeft w:val="0"/>
      <w:marRight w:val="0"/>
      <w:marTop w:val="0"/>
      <w:marBottom w:val="0"/>
      <w:divBdr>
        <w:top w:val="none" w:sz="0" w:space="0" w:color="auto"/>
        <w:left w:val="none" w:sz="0" w:space="0" w:color="auto"/>
        <w:bottom w:val="none" w:sz="0" w:space="0" w:color="auto"/>
        <w:right w:val="none" w:sz="0" w:space="0" w:color="auto"/>
      </w:divBdr>
    </w:div>
    <w:div w:id="71708715">
      <w:bodyDiv w:val="1"/>
      <w:marLeft w:val="0"/>
      <w:marRight w:val="0"/>
      <w:marTop w:val="0"/>
      <w:marBottom w:val="0"/>
      <w:divBdr>
        <w:top w:val="none" w:sz="0" w:space="0" w:color="auto"/>
        <w:left w:val="none" w:sz="0" w:space="0" w:color="auto"/>
        <w:bottom w:val="none" w:sz="0" w:space="0" w:color="auto"/>
        <w:right w:val="none" w:sz="0" w:space="0" w:color="auto"/>
      </w:divBdr>
    </w:div>
    <w:div w:id="124347574">
      <w:bodyDiv w:val="1"/>
      <w:marLeft w:val="0"/>
      <w:marRight w:val="0"/>
      <w:marTop w:val="0"/>
      <w:marBottom w:val="0"/>
      <w:divBdr>
        <w:top w:val="none" w:sz="0" w:space="0" w:color="auto"/>
        <w:left w:val="none" w:sz="0" w:space="0" w:color="auto"/>
        <w:bottom w:val="none" w:sz="0" w:space="0" w:color="auto"/>
        <w:right w:val="none" w:sz="0" w:space="0" w:color="auto"/>
      </w:divBdr>
    </w:div>
    <w:div w:id="218130379">
      <w:bodyDiv w:val="1"/>
      <w:marLeft w:val="0"/>
      <w:marRight w:val="0"/>
      <w:marTop w:val="0"/>
      <w:marBottom w:val="0"/>
      <w:divBdr>
        <w:top w:val="none" w:sz="0" w:space="0" w:color="auto"/>
        <w:left w:val="none" w:sz="0" w:space="0" w:color="auto"/>
        <w:bottom w:val="none" w:sz="0" w:space="0" w:color="auto"/>
        <w:right w:val="none" w:sz="0" w:space="0" w:color="auto"/>
      </w:divBdr>
    </w:div>
    <w:div w:id="313337188">
      <w:bodyDiv w:val="1"/>
      <w:marLeft w:val="0"/>
      <w:marRight w:val="0"/>
      <w:marTop w:val="0"/>
      <w:marBottom w:val="0"/>
      <w:divBdr>
        <w:top w:val="none" w:sz="0" w:space="0" w:color="auto"/>
        <w:left w:val="none" w:sz="0" w:space="0" w:color="auto"/>
        <w:bottom w:val="none" w:sz="0" w:space="0" w:color="auto"/>
        <w:right w:val="none" w:sz="0" w:space="0" w:color="auto"/>
      </w:divBdr>
    </w:div>
    <w:div w:id="314993262">
      <w:bodyDiv w:val="1"/>
      <w:marLeft w:val="0"/>
      <w:marRight w:val="0"/>
      <w:marTop w:val="0"/>
      <w:marBottom w:val="0"/>
      <w:divBdr>
        <w:top w:val="none" w:sz="0" w:space="0" w:color="auto"/>
        <w:left w:val="none" w:sz="0" w:space="0" w:color="auto"/>
        <w:bottom w:val="none" w:sz="0" w:space="0" w:color="auto"/>
        <w:right w:val="none" w:sz="0" w:space="0" w:color="auto"/>
      </w:divBdr>
    </w:div>
    <w:div w:id="523523242">
      <w:bodyDiv w:val="1"/>
      <w:marLeft w:val="0"/>
      <w:marRight w:val="0"/>
      <w:marTop w:val="0"/>
      <w:marBottom w:val="0"/>
      <w:divBdr>
        <w:top w:val="none" w:sz="0" w:space="0" w:color="auto"/>
        <w:left w:val="none" w:sz="0" w:space="0" w:color="auto"/>
        <w:bottom w:val="none" w:sz="0" w:space="0" w:color="auto"/>
        <w:right w:val="none" w:sz="0" w:space="0" w:color="auto"/>
      </w:divBdr>
    </w:div>
    <w:div w:id="538052941">
      <w:bodyDiv w:val="1"/>
      <w:marLeft w:val="0"/>
      <w:marRight w:val="0"/>
      <w:marTop w:val="0"/>
      <w:marBottom w:val="0"/>
      <w:divBdr>
        <w:top w:val="none" w:sz="0" w:space="0" w:color="auto"/>
        <w:left w:val="none" w:sz="0" w:space="0" w:color="auto"/>
        <w:bottom w:val="none" w:sz="0" w:space="0" w:color="auto"/>
        <w:right w:val="none" w:sz="0" w:space="0" w:color="auto"/>
      </w:divBdr>
    </w:div>
    <w:div w:id="618417380">
      <w:bodyDiv w:val="1"/>
      <w:marLeft w:val="0"/>
      <w:marRight w:val="0"/>
      <w:marTop w:val="0"/>
      <w:marBottom w:val="0"/>
      <w:divBdr>
        <w:top w:val="none" w:sz="0" w:space="0" w:color="auto"/>
        <w:left w:val="none" w:sz="0" w:space="0" w:color="auto"/>
        <w:bottom w:val="none" w:sz="0" w:space="0" w:color="auto"/>
        <w:right w:val="none" w:sz="0" w:space="0" w:color="auto"/>
      </w:divBdr>
    </w:div>
    <w:div w:id="619606956">
      <w:bodyDiv w:val="1"/>
      <w:marLeft w:val="0"/>
      <w:marRight w:val="0"/>
      <w:marTop w:val="0"/>
      <w:marBottom w:val="0"/>
      <w:divBdr>
        <w:top w:val="none" w:sz="0" w:space="0" w:color="auto"/>
        <w:left w:val="none" w:sz="0" w:space="0" w:color="auto"/>
        <w:bottom w:val="none" w:sz="0" w:space="0" w:color="auto"/>
        <w:right w:val="none" w:sz="0" w:space="0" w:color="auto"/>
      </w:divBdr>
    </w:div>
    <w:div w:id="633606943">
      <w:bodyDiv w:val="1"/>
      <w:marLeft w:val="0"/>
      <w:marRight w:val="0"/>
      <w:marTop w:val="0"/>
      <w:marBottom w:val="0"/>
      <w:divBdr>
        <w:top w:val="none" w:sz="0" w:space="0" w:color="auto"/>
        <w:left w:val="none" w:sz="0" w:space="0" w:color="auto"/>
        <w:bottom w:val="none" w:sz="0" w:space="0" w:color="auto"/>
        <w:right w:val="none" w:sz="0" w:space="0" w:color="auto"/>
      </w:divBdr>
    </w:div>
    <w:div w:id="683675764">
      <w:bodyDiv w:val="1"/>
      <w:marLeft w:val="0"/>
      <w:marRight w:val="0"/>
      <w:marTop w:val="0"/>
      <w:marBottom w:val="0"/>
      <w:divBdr>
        <w:top w:val="none" w:sz="0" w:space="0" w:color="auto"/>
        <w:left w:val="none" w:sz="0" w:space="0" w:color="auto"/>
        <w:bottom w:val="none" w:sz="0" w:space="0" w:color="auto"/>
        <w:right w:val="none" w:sz="0" w:space="0" w:color="auto"/>
      </w:divBdr>
    </w:div>
    <w:div w:id="888491158">
      <w:bodyDiv w:val="1"/>
      <w:marLeft w:val="0"/>
      <w:marRight w:val="0"/>
      <w:marTop w:val="0"/>
      <w:marBottom w:val="0"/>
      <w:divBdr>
        <w:top w:val="none" w:sz="0" w:space="0" w:color="auto"/>
        <w:left w:val="none" w:sz="0" w:space="0" w:color="auto"/>
        <w:bottom w:val="none" w:sz="0" w:space="0" w:color="auto"/>
        <w:right w:val="none" w:sz="0" w:space="0" w:color="auto"/>
      </w:divBdr>
    </w:div>
    <w:div w:id="1026323808">
      <w:bodyDiv w:val="1"/>
      <w:marLeft w:val="0"/>
      <w:marRight w:val="0"/>
      <w:marTop w:val="0"/>
      <w:marBottom w:val="0"/>
      <w:divBdr>
        <w:top w:val="none" w:sz="0" w:space="0" w:color="auto"/>
        <w:left w:val="none" w:sz="0" w:space="0" w:color="auto"/>
        <w:bottom w:val="none" w:sz="0" w:space="0" w:color="auto"/>
        <w:right w:val="none" w:sz="0" w:space="0" w:color="auto"/>
      </w:divBdr>
    </w:div>
    <w:div w:id="1104883437">
      <w:bodyDiv w:val="1"/>
      <w:marLeft w:val="0"/>
      <w:marRight w:val="0"/>
      <w:marTop w:val="0"/>
      <w:marBottom w:val="0"/>
      <w:divBdr>
        <w:top w:val="none" w:sz="0" w:space="0" w:color="auto"/>
        <w:left w:val="none" w:sz="0" w:space="0" w:color="auto"/>
        <w:bottom w:val="none" w:sz="0" w:space="0" w:color="auto"/>
        <w:right w:val="none" w:sz="0" w:space="0" w:color="auto"/>
      </w:divBdr>
    </w:div>
    <w:div w:id="1122577589">
      <w:bodyDiv w:val="1"/>
      <w:marLeft w:val="0"/>
      <w:marRight w:val="0"/>
      <w:marTop w:val="0"/>
      <w:marBottom w:val="0"/>
      <w:divBdr>
        <w:top w:val="none" w:sz="0" w:space="0" w:color="auto"/>
        <w:left w:val="none" w:sz="0" w:space="0" w:color="auto"/>
        <w:bottom w:val="none" w:sz="0" w:space="0" w:color="auto"/>
        <w:right w:val="none" w:sz="0" w:space="0" w:color="auto"/>
      </w:divBdr>
    </w:div>
    <w:div w:id="1124427987">
      <w:bodyDiv w:val="1"/>
      <w:marLeft w:val="0"/>
      <w:marRight w:val="0"/>
      <w:marTop w:val="0"/>
      <w:marBottom w:val="0"/>
      <w:divBdr>
        <w:top w:val="none" w:sz="0" w:space="0" w:color="auto"/>
        <w:left w:val="none" w:sz="0" w:space="0" w:color="auto"/>
        <w:bottom w:val="none" w:sz="0" w:space="0" w:color="auto"/>
        <w:right w:val="none" w:sz="0" w:space="0" w:color="auto"/>
      </w:divBdr>
    </w:div>
    <w:div w:id="1187014109">
      <w:bodyDiv w:val="1"/>
      <w:marLeft w:val="0"/>
      <w:marRight w:val="0"/>
      <w:marTop w:val="0"/>
      <w:marBottom w:val="0"/>
      <w:divBdr>
        <w:top w:val="none" w:sz="0" w:space="0" w:color="auto"/>
        <w:left w:val="none" w:sz="0" w:space="0" w:color="auto"/>
        <w:bottom w:val="none" w:sz="0" w:space="0" w:color="auto"/>
        <w:right w:val="none" w:sz="0" w:space="0" w:color="auto"/>
      </w:divBdr>
    </w:div>
    <w:div w:id="1202127650">
      <w:bodyDiv w:val="1"/>
      <w:marLeft w:val="0"/>
      <w:marRight w:val="0"/>
      <w:marTop w:val="0"/>
      <w:marBottom w:val="0"/>
      <w:divBdr>
        <w:top w:val="none" w:sz="0" w:space="0" w:color="auto"/>
        <w:left w:val="none" w:sz="0" w:space="0" w:color="auto"/>
        <w:bottom w:val="none" w:sz="0" w:space="0" w:color="auto"/>
        <w:right w:val="none" w:sz="0" w:space="0" w:color="auto"/>
      </w:divBdr>
    </w:div>
    <w:div w:id="1209804954">
      <w:bodyDiv w:val="1"/>
      <w:marLeft w:val="0"/>
      <w:marRight w:val="0"/>
      <w:marTop w:val="0"/>
      <w:marBottom w:val="0"/>
      <w:divBdr>
        <w:top w:val="none" w:sz="0" w:space="0" w:color="auto"/>
        <w:left w:val="none" w:sz="0" w:space="0" w:color="auto"/>
        <w:bottom w:val="none" w:sz="0" w:space="0" w:color="auto"/>
        <w:right w:val="none" w:sz="0" w:space="0" w:color="auto"/>
      </w:divBdr>
    </w:div>
    <w:div w:id="1210530512">
      <w:bodyDiv w:val="1"/>
      <w:marLeft w:val="0"/>
      <w:marRight w:val="0"/>
      <w:marTop w:val="0"/>
      <w:marBottom w:val="0"/>
      <w:divBdr>
        <w:top w:val="none" w:sz="0" w:space="0" w:color="auto"/>
        <w:left w:val="none" w:sz="0" w:space="0" w:color="auto"/>
        <w:bottom w:val="none" w:sz="0" w:space="0" w:color="auto"/>
        <w:right w:val="none" w:sz="0" w:space="0" w:color="auto"/>
      </w:divBdr>
    </w:div>
    <w:div w:id="1220435390">
      <w:bodyDiv w:val="1"/>
      <w:marLeft w:val="0"/>
      <w:marRight w:val="0"/>
      <w:marTop w:val="0"/>
      <w:marBottom w:val="0"/>
      <w:divBdr>
        <w:top w:val="none" w:sz="0" w:space="0" w:color="auto"/>
        <w:left w:val="none" w:sz="0" w:space="0" w:color="auto"/>
        <w:bottom w:val="none" w:sz="0" w:space="0" w:color="auto"/>
        <w:right w:val="none" w:sz="0" w:space="0" w:color="auto"/>
      </w:divBdr>
    </w:div>
    <w:div w:id="1238906154">
      <w:bodyDiv w:val="1"/>
      <w:marLeft w:val="0"/>
      <w:marRight w:val="0"/>
      <w:marTop w:val="0"/>
      <w:marBottom w:val="0"/>
      <w:divBdr>
        <w:top w:val="none" w:sz="0" w:space="0" w:color="auto"/>
        <w:left w:val="none" w:sz="0" w:space="0" w:color="auto"/>
        <w:bottom w:val="none" w:sz="0" w:space="0" w:color="auto"/>
        <w:right w:val="none" w:sz="0" w:space="0" w:color="auto"/>
      </w:divBdr>
    </w:div>
    <w:div w:id="1308822981">
      <w:bodyDiv w:val="1"/>
      <w:marLeft w:val="0"/>
      <w:marRight w:val="0"/>
      <w:marTop w:val="0"/>
      <w:marBottom w:val="0"/>
      <w:divBdr>
        <w:top w:val="none" w:sz="0" w:space="0" w:color="auto"/>
        <w:left w:val="none" w:sz="0" w:space="0" w:color="auto"/>
        <w:bottom w:val="none" w:sz="0" w:space="0" w:color="auto"/>
        <w:right w:val="none" w:sz="0" w:space="0" w:color="auto"/>
      </w:divBdr>
    </w:div>
    <w:div w:id="1313801041">
      <w:bodyDiv w:val="1"/>
      <w:marLeft w:val="0"/>
      <w:marRight w:val="0"/>
      <w:marTop w:val="0"/>
      <w:marBottom w:val="0"/>
      <w:divBdr>
        <w:top w:val="none" w:sz="0" w:space="0" w:color="auto"/>
        <w:left w:val="none" w:sz="0" w:space="0" w:color="auto"/>
        <w:bottom w:val="none" w:sz="0" w:space="0" w:color="auto"/>
        <w:right w:val="none" w:sz="0" w:space="0" w:color="auto"/>
      </w:divBdr>
    </w:div>
    <w:div w:id="1320575963">
      <w:bodyDiv w:val="1"/>
      <w:marLeft w:val="0"/>
      <w:marRight w:val="0"/>
      <w:marTop w:val="0"/>
      <w:marBottom w:val="0"/>
      <w:divBdr>
        <w:top w:val="none" w:sz="0" w:space="0" w:color="auto"/>
        <w:left w:val="none" w:sz="0" w:space="0" w:color="auto"/>
        <w:bottom w:val="none" w:sz="0" w:space="0" w:color="auto"/>
        <w:right w:val="none" w:sz="0" w:space="0" w:color="auto"/>
      </w:divBdr>
    </w:div>
    <w:div w:id="1382242147">
      <w:bodyDiv w:val="1"/>
      <w:marLeft w:val="0"/>
      <w:marRight w:val="0"/>
      <w:marTop w:val="0"/>
      <w:marBottom w:val="0"/>
      <w:divBdr>
        <w:top w:val="none" w:sz="0" w:space="0" w:color="auto"/>
        <w:left w:val="none" w:sz="0" w:space="0" w:color="auto"/>
        <w:bottom w:val="none" w:sz="0" w:space="0" w:color="auto"/>
        <w:right w:val="none" w:sz="0" w:space="0" w:color="auto"/>
      </w:divBdr>
    </w:div>
    <w:div w:id="1390611470">
      <w:bodyDiv w:val="1"/>
      <w:marLeft w:val="0"/>
      <w:marRight w:val="0"/>
      <w:marTop w:val="0"/>
      <w:marBottom w:val="0"/>
      <w:divBdr>
        <w:top w:val="none" w:sz="0" w:space="0" w:color="auto"/>
        <w:left w:val="none" w:sz="0" w:space="0" w:color="auto"/>
        <w:bottom w:val="none" w:sz="0" w:space="0" w:color="auto"/>
        <w:right w:val="none" w:sz="0" w:space="0" w:color="auto"/>
      </w:divBdr>
    </w:div>
    <w:div w:id="1523936032">
      <w:bodyDiv w:val="1"/>
      <w:marLeft w:val="0"/>
      <w:marRight w:val="0"/>
      <w:marTop w:val="0"/>
      <w:marBottom w:val="0"/>
      <w:divBdr>
        <w:top w:val="none" w:sz="0" w:space="0" w:color="auto"/>
        <w:left w:val="none" w:sz="0" w:space="0" w:color="auto"/>
        <w:bottom w:val="none" w:sz="0" w:space="0" w:color="auto"/>
        <w:right w:val="none" w:sz="0" w:space="0" w:color="auto"/>
      </w:divBdr>
    </w:div>
    <w:div w:id="1555115255">
      <w:bodyDiv w:val="1"/>
      <w:marLeft w:val="0"/>
      <w:marRight w:val="0"/>
      <w:marTop w:val="0"/>
      <w:marBottom w:val="0"/>
      <w:divBdr>
        <w:top w:val="none" w:sz="0" w:space="0" w:color="auto"/>
        <w:left w:val="none" w:sz="0" w:space="0" w:color="auto"/>
        <w:bottom w:val="none" w:sz="0" w:space="0" w:color="auto"/>
        <w:right w:val="none" w:sz="0" w:space="0" w:color="auto"/>
      </w:divBdr>
    </w:div>
    <w:div w:id="1577320605">
      <w:bodyDiv w:val="1"/>
      <w:marLeft w:val="0"/>
      <w:marRight w:val="0"/>
      <w:marTop w:val="0"/>
      <w:marBottom w:val="0"/>
      <w:divBdr>
        <w:top w:val="none" w:sz="0" w:space="0" w:color="auto"/>
        <w:left w:val="none" w:sz="0" w:space="0" w:color="auto"/>
        <w:bottom w:val="none" w:sz="0" w:space="0" w:color="auto"/>
        <w:right w:val="none" w:sz="0" w:space="0" w:color="auto"/>
      </w:divBdr>
    </w:div>
    <w:div w:id="1610695256">
      <w:bodyDiv w:val="1"/>
      <w:marLeft w:val="0"/>
      <w:marRight w:val="0"/>
      <w:marTop w:val="0"/>
      <w:marBottom w:val="0"/>
      <w:divBdr>
        <w:top w:val="none" w:sz="0" w:space="0" w:color="auto"/>
        <w:left w:val="none" w:sz="0" w:space="0" w:color="auto"/>
        <w:bottom w:val="none" w:sz="0" w:space="0" w:color="auto"/>
        <w:right w:val="none" w:sz="0" w:space="0" w:color="auto"/>
      </w:divBdr>
    </w:div>
    <w:div w:id="1681859077">
      <w:bodyDiv w:val="1"/>
      <w:marLeft w:val="0"/>
      <w:marRight w:val="0"/>
      <w:marTop w:val="0"/>
      <w:marBottom w:val="0"/>
      <w:divBdr>
        <w:top w:val="none" w:sz="0" w:space="0" w:color="auto"/>
        <w:left w:val="none" w:sz="0" w:space="0" w:color="auto"/>
        <w:bottom w:val="none" w:sz="0" w:space="0" w:color="auto"/>
        <w:right w:val="none" w:sz="0" w:space="0" w:color="auto"/>
      </w:divBdr>
    </w:div>
    <w:div w:id="1790510039">
      <w:bodyDiv w:val="1"/>
      <w:marLeft w:val="0"/>
      <w:marRight w:val="0"/>
      <w:marTop w:val="0"/>
      <w:marBottom w:val="0"/>
      <w:divBdr>
        <w:top w:val="none" w:sz="0" w:space="0" w:color="auto"/>
        <w:left w:val="none" w:sz="0" w:space="0" w:color="auto"/>
        <w:bottom w:val="none" w:sz="0" w:space="0" w:color="auto"/>
        <w:right w:val="none" w:sz="0" w:space="0" w:color="auto"/>
      </w:divBdr>
    </w:div>
    <w:div w:id="1815826569">
      <w:bodyDiv w:val="1"/>
      <w:marLeft w:val="0"/>
      <w:marRight w:val="0"/>
      <w:marTop w:val="0"/>
      <w:marBottom w:val="0"/>
      <w:divBdr>
        <w:top w:val="none" w:sz="0" w:space="0" w:color="auto"/>
        <w:left w:val="none" w:sz="0" w:space="0" w:color="auto"/>
        <w:bottom w:val="none" w:sz="0" w:space="0" w:color="auto"/>
        <w:right w:val="none" w:sz="0" w:space="0" w:color="auto"/>
      </w:divBdr>
    </w:div>
    <w:div w:id="1831604738">
      <w:bodyDiv w:val="1"/>
      <w:marLeft w:val="0"/>
      <w:marRight w:val="0"/>
      <w:marTop w:val="0"/>
      <w:marBottom w:val="0"/>
      <w:divBdr>
        <w:top w:val="none" w:sz="0" w:space="0" w:color="auto"/>
        <w:left w:val="none" w:sz="0" w:space="0" w:color="auto"/>
        <w:bottom w:val="none" w:sz="0" w:space="0" w:color="auto"/>
        <w:right w:val="none" w:sz="0" w:space="0" w:color="auto"/>
      </w:divBdr>
    </w:div>
    <w:div w:id="1837384228">
      <w:bodyDiv w:val="1"/>
      <w:marLeft w:val="0"/>
      <w:marRight w:val="0"/>
      <w:marTop w:val="0"/>
      <w:marBottom w:val="0"/>
      <w:divBdr>
        <w:top w:val="none" w:sz="0" w:space="0" w:color="auto"/>
        <w:left w:val="none" w:sz="0" w:space="0" w:color="auto"/>
        <w:bottom w:val="none" w:sz="0" w:space="0" w:color="auto"/>
        <w:right w:val="none" w:sz="0" w:space="0" w:color="auto"/>
      </w:divBdr>
    </w:div>
    <w:div w:id="1893733609">
      <w:bodyDiv w:val="1"/>
      <w:marLeft w:val="0"/>
      <w:marRight w:val="0"/>
      <w:marTop w:val="0"/>
      <w:marBottom w:val="0"/>
      <w:divBdr>
        <w:top w:val="none" w:sz="0" w:space="0" w:color="auto"/>
        <w:left w:val="none" w:sz="0" w:space="0" w:color="auto"/>
        <w:bottom w:val="none" w:sz="0" w:space="0" w:color="auto"/>
        <w:right w:val="none" w:sz="0" w:space="0" w:color="auto"/>
      </w:divBdr>
    </w:div>
    <w:div w:id="1917087851">
      <w:bodyDiv w:val="1"/>
      <w:marLeft w:val="0"/>
      <w:marRight w:val="0"/>
      <w:marTop w:val="0"/>
      <w:marBottom w:val="0"/>
      <w:divBdr>
        <w:top w:val="none" w:sz="0" w:space="0" w:color="auto"/>
        <w:left w:val="none" w:sz="0" w:space="0" w:color="auto"/>
        <w:bottom w:val="none" w:sz="0" w:space="0" w:color="auto"/>
        <w:right w:val="none" w:sz="0" w:space="0" w:color="auto"/>
      </w:divBdr>
    </w:div>
    <w:div w:id="2002928679">
      <w:bodyDiv w:val="1"/>
      <w:marLeft w:val="0"/>
      <w:marRight w:val="0"/>
      <w:marTop w:val="0"/>
      <w:marBottom w:val="0"/>
      <w:divBdr>
        <w:top w:val="none" w:sz="0" w:space="0" w:color="auto"/>
        <w:left w:val="none" w:sz="0" w:space="0" w:color="auto"/>
        <w:bottom w:val="none" w:sz="0" w:space="0" w:color="auto"/>
        <w:right w:val="none" w:sz="0" w:space="0" w:color="auto"/>
      </w:divBdr>
    </w:div>
    <w:div w:id="2135441693">
      <w:bodyDiv w:val="1"/>
      <w:marLeft w:val="0"/>
      <w:marRight w:val="0"/>
      <w:marTop w:val="0"/>
      <w:marBottom w:val="0"/>
      <w:divBdr>
        <w:top w:val="none" w:sz="0" w:space="0" w:color="auto"/>
        <w:left w:val="none" w:sz="0" w:space="0" w:color="auto"/>
        <w:bottom w:val="none" w:sz="0" w:space="0" w:color="auto"/>
        <w:right w:val="none" w:sz="0" w:space="0" w:color="auto"/>
      </w:divBdr>
    </w:div>
    <w:div w:id="21412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hristel.schurrer@coe.int"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m.coe.int/latvia-eu-scoreboard-country-fiches-2022-data/1680b065fa"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hudoc.exec.coe.int/eng?i=004-6704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m.coe.int/latvia/1680b1df70" TargetMode="External"/><Relationship Id="rId5" Type="http://schemas.openxmlformats.org/officeDocument/2006/relationships/webSettings" Target="webSettings.xml"/><Relationship Id="rId15" Type="http://schemas.openxmlformats.org/officeDocument/2006/relationships/hyperlink" Target="mailto:DGI-Execution@coe.int" TargetMode="External"/><Relationship Id="rId10" Type="http://schemas.openxmlformats.org/officeDocument/2006/relationships/hyperlink" Target="http://www.coe.int/en/web/cepej/cepej-sta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m.coe.int/cepej-evaluation-report-part-1-en-/1680b272ac" TargetMode="External"/><Relationship Id="rId14" Type="http://schemas.openxmlformats.org/officeDocument/2006/relationships/hyperlink" Target="https://www.coe.int/en/web/execution/annual-repor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A2193-21D1-488E-8E72-FD0563183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419</Words>
  <Characters>2308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5</cp:revision>
  <dcterms:created xsi:type="dcterms:W3CDTF">2025-01-20T14:42:00Z</dcterms:created>
  <dcterms:modified xsi:type="dcterms:W3CDTF">2025-01-31T11:23:00Z</dcterms:modified>
</cp:coreProperties>
</file>